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F925DE"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2019</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F925DE"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73CFB" w:rsidTr="00130771">
                              <w:trPr>
                                <w:trHeight w:val="18"/>
                              </w:trPr>
                              <w:tc>
                                <w:tcPr>
                                  <w:tcW w:w="10773" w:type="dxa"/>
                                  <w:vAlign w:val="center"/>
                                </w:tcPr>
                                <w:p w:rsidR="00B576DE" w:rsidRPr="009D4C10" w:rsidRDefault="00F925DE"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F925DE"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F925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873CFB" w:rsidTr="00130771">
                              <w:trPr>
                                <w:trHeight w:val="48"/>
                              </w:trPr>
                              <w:tc>
                                <w:tcPr>
                                  <w:tcW w:w="10773" w:type="dxa"/>
                                </w:tcPr>
                                <w:p w:rsidR="00B576DE" w:rsidRDefault="00F925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2020 at 02:30 PM by Ingrid Clarkson (Principal)</w:t>
                                  </w:r>
                                </w:p>
                              </w:tc>
                            </w:tr>
                          </w:tbl>
                          <w:p w:rsidR="00B576DE" w:rsidRDefault="00F925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73CFB" w:rsidTr="00130771">
                              <w:trPr>
                                <w:trHeight w:val="114"/>
                              </w:trPr>
                              <w:tc>
                                <w:tcPr>
                                  <w:tcW w:w="10773" w:type="dxa"/>
                                  <w:vAlign w:val="center"/>
                                </w:tcPr>
                                <w:p w:rsidR="00B576DE" w:rsidRPr="00B576DE" w:rsidRDefault="00F925DE"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F925DE"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F925DE" w:rsidP="007C1665">
                                  <w:pPr>
                                    <w:numPr>
                                      <w:ilvl w:val="0"/>
                                      <w:numId w:val="26"/>
                                    </w:numPr>
                                    <w:spacing w:after="0" w:line="240" w:lineRule="auto"/>
                                    <w:ind w:left="301"/>
                                    <w:rPr>
                                      <w:color w:val="333333"/>
                                      <w:sz w:val="16"/>
                                      <w:szCs w:val="16"/>
                                    </w:rPr>
                                  </w:pPr>
                                  <w:r w:rsidRPr="00B576DE">
                                    <w:rPr>
                                      <w:color w:val="333333"/>
                                    </w:rPr>
                                    <w:t>will be publicly shared</w:t>
                                  </w:r>
                                  <w:r w:rsidRPr="00B576DE">
                                    <w:rPr>
                                      <w:color w:val="333333"/>
                                    </w:rPr>
                                    <w:t xml:space="preserve"> with the school community</w:t>
                                  </w:r>
                                  <w:r>
                                    <w:rPr>
                                      <w:color w:val="333333"/>
                                    </w:rPr>
                                    <w:t>.</w:t>
                                  </w:r>
                                </w:p>
                              </w:tc>
                            </w:tr>
                            <w:tr w:rsidR="00873CFB" w:rsidTr="00130771">
                              <w:trPr>
                                <w:trHeight w:val="274"/>
                              </w:trPr>
                              <w:tc>
                                <w:tcPr>
                                  <w:tcW w:w="10773" w:type="dxa"/>
                                </w:tcPr>
                                <w:p w:rsidR="00B576DE" w:rsidRDefault="00F925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04 May 2020 at 10:43 AM by Stuart Mathieson (School Council President)</w:t>
                                  </w:r>
                                </w:p>
                              </w:tc>
                            </w:tr>
                          </w:tbl>
                          <w:p w:rsidR="00B576DE" w:rsidRDefault="00F925DE"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73CFB" w:rsidTr="00130771">
                        <w:trPr>
                          <w:trHeight w:val="18"/>
                        </w:trPr>
                        <w:tc>
                          <w:tcPr>
                            <w:tcW w:w="10773" w:type="dxa"/>
                            <w:vAlign w:val="center"/>
                          </w:tcPr>
                          <w:p w:rsidR="00B576DE" w:rsidRPr="009D4C10" w:rsidRDefault="00F925DE"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F925DE"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F925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873CFB" w:rsidTr="00130771">
                        <w:trPr>
                          <w:trHeight w:val="48"/>
                        </w:trPr>
                        <w:tc>
                          <w:tcPr>
                            <w:tcW w:w="10773" w:type="dxa"/>
                          </w:tcPr>
                          <w:p w:rsidR="00B576DE" w:rsidRDefault="00F925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2020 at 02:30 PM by Ingrid Clarkson (Principal)</w:t>
                            </w:r>
                          </w:p>
                        </w:tc>
                      </w:tr>
                    </w:tbl>
                    <w:p w:rsidR="00B576DE" w:rsidRDefault="00F925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73CFB" w:rsidTr="00130771">
                        <w:trPr>
                          <w:trHeight w:val="114"/>
                        </w:trPr>
                        <w:tc>
                          <w:tcPr>
                            <w:tcW w:w="10773" w:type="dxa"/>
                            <w:vAlign w:val="center"/>
                          </w:tcPr>
                          <w:p w:rsidR="00B576DE" w:rsidRPr="00B576DE" w:rsidRDefault="00F925DE"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F925DE"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F925DE" w:rsidP="007C1665">
                            <w:pPr>
                              <w:numPr>
                                <w:ilvl w:val="0"/>
                                <w:numId w:val="26"/>
                              </w:numPr>
                              <w:spacing w:after="0" w:line="240" w:lineRule="auto"/>
                              <w:ind w:left="301"/>
                              <w:rPr>
                                <w:color w:val="333333"/>
                                <w:sz w:val="16"/>
                                <w:szCs w:val="16"/>
                              </w:rPr>
                            </w:pPr>
                            <w:r w:rsidRPr="00B576DE">
                              <w:rPr>
                                <w:color w:val="333333"/>
                              </w:rPr>
                              <w:t>will be publicly shared</w:t>
                            </w:r>
                            <w:r w:rsidRPr="00B576DE">
                              <w:rPr>
                                <w:color w:val="333333"/>
                              </w:rPr>
                              <w:t xml:space="preserve"> with the school community</w:t>
                            </w:r>
                            <w:r>
                              <w:rPr>
                                <w:color w:val="333333"/>
                              </w:rPr>
                              <w:t>.</w:t>
                            </w:r>
                          </w:p>
                        </w:tc>
                      </w:tr>
                      <w:tr w:rsidR="00873CFB" w:rsidTr="00130771">
                        <w:trPr>
                          <w:trHeight w:val="274"/>
                        </w:trPr>
                        <w:tc>
                          <w:tcPr>
                            <w:tcW w:w="10773" w:type="dxa"/>
                          </w:tcPr>
                          <w:p w:rsidR="00B576DE" w:rsidRDefault="00F925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04 May 2020 at 10:43 AM by Stuart Mathieson (School Council President)</w:t>
                            </w:r>
                          </w:p>
                        </w:tc>
                      </w:tr>
                    </w:tbl>
                    <w:p w:rsidR="00B576DE" w:rsidRDefault="00F925DE" w:rsidP="00177D7F"/>
                  </w:txbxContent>
                </v:textbox>
                <w10:wrap anchorx="margin"/>
              </v:shape>
            </w:pict>
          </mc:Fallback>
        </mc:AlternateContent>
      </w:r>
      <w:r w:rsidRPr="00BE480F">
        <w:rPr>
          <w:noProof/>
          <w:lang w:val="en-AU" w:eastAsia="en-AU"/>
        </w:rPr>
        <w:drawing>
          <wp:anchor distT="0" distB="0" distL="114300" distR="114300" simplePos="0" relativeHeight="251661312"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Natimuk Primary School (1548)</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873CFB" w:rsidTr="00130771">
        <w:trPr>
          <w:trHeight w:val="11387"/>
        </w:trPr>
        <w:tc>
          <w:tcPr>
            <w:tcW w:w="3544" w:type="dxa"/>
          </w:tcPr>
          <w:p w:rsidR="00BE480F" w:rsidRPr="00BE480F" w:rsidRDefault="00F925DE"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428949" cy="724001"/>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724001"/>
                          </a:xfrm>
                          <a:prstGeom prst="rect">
                            <a:avLst/>
                          </a:prstGeom>
                        </pic:spPr>
                      </pic:pic>
                    </a:graphicData>
                  </a:graphic>
                </wp:anchor>
              </w:drawing>
            </w:r>
          </w:p>
        </w:tc>
        <w:tc>
          <w:tcPr>
            <w:tcW w:w="6946" w:type="dxa"/>
          </w:tcPr>
          <w:p w:rsidR="00BE480F" w:rsidRDefault="00F925DE" w:rsidP="006932E3">
            <w:pPr>
              <w:ind w:right="419"/>
              <w:rPr>
                <w:color w:val="595959" w:themeColor="text1" w:themeTint="A6"/>
              </w:rPr>
            </w:pPr>
          </w:p>
        </w:tc>
      </w:tr>
    </w:tbl>
    <w:p w:rsidR="00BE480F" w:rsidRDefault="00F925DE" w:rsidP="00AF1438">
      <w:pPr>
        <w:ind w:left="540" w:right="419"/>
        <w:rPr>
          <w:color w:val="595959" w:themeColor="text1" w:themeTint="A6"/>
        </w:rPr>
      </w:pPr>
    </w:p>
    <w:p w:rsidR="00481904" w:rsidRDefault="00F925DE"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BF76C7" w:rsidRPr="00242590" w:rsidRDefault="00F925DE" w:rsidP="00B42C9B">
      <w:pPr>
        <w:ind w:left="-540" w:right="-632"/>
        <w:jc w:val="center"/>
        <w:rPr>
          <w:b/>
          <w:color w:val="AF272F"/>
          <w:sz w:val="32"/>
          <w:szCs w:val="32"/>
        </w:rPr>
      </w:pPr>
      <w:r>
        <w:rPr>
          <w:b/>
          <w:color w:val="AF272F"/>
          <w:sz w:val="36"/>
          <w:szCs w:val="44"/>
        </w:rPr>
        <w:lastRenderedPageBreak/>
        <w:t>About Our School</w:t>
      </w:r>
    </w:p>
    <w:p w:rsidR="0038585D" w:rsidRPr="00864EAA" w:rsidRDefault="00F925DE"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873CFB" w:rsidTr="003329F2">
        <w:trPr>
          <w:trHeight w:val="15"/>
        </w:trPr>
        <w:tc>
          <w:tcPr>
            <w:tcW w:w="10774" w:type="dxa"/>
            <w:shd w:val="clear" w:color="auto" w:fill="D9D9D9" w:themeFill="background1" w:themeFillShade="D9"/>
          </w:tcPr>
          <w:p w:rsidR="00777DB2" w:rsidRPr="001C2589" w:rsidRDefault="00F925DE" w:rsidP="00994A0F">
            <w:pPr>
              <w:pStyle w:val="Heading3"/>
              <w:spacing w:before="0" w:after="0"/>
              <w:rPr>
                <w:sz w:val="24"/>
                <w:szCs w:val="24"/>
              </w:rPr>
            </w:pPr>
            <w:r w:rsidRPr="005206F9">
              <w:rPr>
                <w:sz w:val="22"/>
                <w:szCs w:val="22"/>
              </w:rPr>
              <w:t xml:space="preserve">School </w:t>
            </w:r>
            <w:r>
              <w:rPr>
                <w:sz w:val="22"/>
                <w:szCs w:val="22"/>
              </w:rPr>
              <w:t>context</w:t>
            </w:r>
          </w:p>
        </w:tc>
      </w:tr>
      <w:tr w:rsidR="00873CFB" w:rsidTr="003329F2">
        <w:trPr>
          <w:trHeight w:val="15"/>
        </w:trPr>
        <w:tc>
          <w:tcPr>
            <w:tcW w:w="10774" w:type="dxa"/>
            <w:shd w:val="clear" w:color="auto" w:fill="FFFFFF" w:themeFill="background1"/>
          </w:tcPr>
          <w:p w:rsidR="00777DB2" w:rsidRPr="005A75E6" w:rsidRDefault="00F925DE" w:rsidP="00994A0F">
            <w:pPr>
              <w:pStyle w:val="Heading3"/>
              <w:spacing w:before="0" w:after="0"/>
              <w:rPr>
                <w:b w:val="0"/>
                <w:szCs w:val="20"/>
              </w:rPr>
            </w:pPr>
            <w:r>
              <w:rPr>
                <w:b w:val="0"/>
              </w:rPr>
              <w:t>Natimuk is a rural township with a population of about 450, a little more than 320kms west of Melbourne and 25kms west of Horsham. The community of Natimuk is diverse and has been strongly influenced by its proximity to the famous landmark, Mt. Arapiles. R</w:t>
            </w:r>
            <w:r>
              <w:rPr>
                <w:b w:val="0"/>
              </w:rPr>
              <w:t>ock climbing and the Outdoor Adventure Industry are dominant and attract schools from all over Victoria for camping, climbing and leadership courses. Even with generations of farmers and professionals, the community has been labelled 'alternative' due to t</w:t>
            </w:r>
            <w:r>
              <w:rPr>
                <w:b w:val="0"/>
              </w:rPr>
              <w:t xml:space="preserve">he artistic flavour and lifestyle it brings. The community’s expertise in the arts has been of great benefit to our school as ongoing partnerships have been formed. </w:t>
            </w:r>
            <w:r>
              <w:rPr>
                <w:b w:val="0"/>
              </w:rPr>
              <w:br/>
              <w:t>Natimuk Primary School draws its students from the town and the surrounding farming distri</w:t>
            </w:r>
            <w:r>
              <w:rPr>
                <w:b w:val="0"/>
              </w:rPr>
              <w:t>ct and is one of the last small schools west of Horsham. The school is regarded as the hub of the community and the parents and school community participate keenly in the continuing life of the school. There are currently 30 students enrolled and we are fo</w:t>
            </w:r>
            <w:r>
              <w:rPr>
                <w:b w:val="0"/>
              </w:rPr>
              <w:t>rtunate to have specialist programs such as PE, Science, Library, Music, Japanese and Art. We have a strong focus on Student Health, Well Being and Safety and use the You Can Do It Program, the Bucket Filler program and the Restorative Practice approach to</w:t>
            </w:r>
            <w:r>
              <w:rPr>
                <w:b w:val="0"/>
              </w:rPr>
              <w:t xml:space="preserve"> behaviour management to strengthen positive staff, student and parent relationships.</w:t>
            </w:r>
            <w:r>
              <w:rPr>
                <w:b w:val="0"/>
              </w:rPr>
              <w:br/>
              <w:t>We have multi-age classrooms, provide intervention and advancement in Literacy and Numeracy and offer Speech Therapy assistance. Extra curricula activities include swimmi</w:t>
            </w:r>
            <w:r>
              <w:rPr>
                <w:b w:val="0"/>
              </w:rPr>
              <w:t xml:space="preserve">ng, athletic sports, sports events, camps, excursions, incursions, Book Week, charity fundraisers, Meals on Wheels, Nati Frinj festival, Eisteddfod, Agricultural Show and the end of year school concert. Senior students take on leadership roles by being on </w:t>
            </w:r>
            <w:r>
              <w:rPr>
                <w:b w:val="0"/>
              </w:rPr>
              <w:t>the Junior School Council and taking an active role as School Leaders and House Captains.</w:t>
            </w:r>
            <w:r>
              <w:rPr>
                <w:b w:val="0"/>
              </w:rPr>
              <w:br/>
              <w:t>Even though we are a small school, our Year 6s are well prepared for their secondary schooling and have all experienced success academically, in the sporting field, i</w:t>
            </w:r>
            <w:r>
              <w:rPr>
                <w:b w:val="0"/>
              </w:rPr>
              <w:t>n Literacy and music.</w:t>
            </w:r>
            <w:r>
              <w:rPr>
                <w:b w:val="0"/>
              </w:rPr>
              <w:br/>
              <w:t>The schools workforce profile consists of: 1 principal class, 1 full time teacher, 1 0.8 teacher, 2 Education Support officers and specialist teachers.</w:t>
            </w:r>
            <w:r>
              <w:rPr>
                <w:b w:val="0"/>
              </w:rPr>
              <w:br/>
              <w:t>Natimuk Primary School is committed to the safety and wellbeing of all children an</w:t>
            </w:r>
            <w:r>
              <w:rPr>
                <w:b w:val="0"/>
              </w:rPr>
              <w:t>d young people.</w:t>
            </w:r>
            <w:r>
              <w:rPr>
                <w:b w:val="0"/>
              </w:rPr>
              <w:br/>
            </w:r>
            <w:r>
              <w:rPr>
                <w:b w:val="0"/>
              </w:rPr>
              <w:br/>
              <w:t>School Oath:</w:t>
            </w:r>
            <w:r>
              <w:rPr>
                <w:b w:val="0"/>
              </w:rPr>
              <w:br/>
            </w:r>
            <w:r>
              <w:rPr>
                <w:b w:val="0"/>
              </w:rPr>
              <w:br/>
              <w:t>Our Values are reflected in our school oath, which has been developed by our students -</w:t>
            </w:r>
            <w:r>
              <w:rPr>
                <w:b w:val="0"/>
              </w:rPr>
              <w:br/>
              <w:t>“As a proud Australian I will have the courage to speak loud and strong,</w:t>
            </w:r>
            <w:r>
              <w:rPr>
                <w:b w:val="0"/>
              </w:rPr>
              <w:br/>
              <w:t>I will respect myself and others, be inclusive and supportive of</w:t>
            </w:r>
            <w:r>
              <w:rPr>
                <w:b w:val="0"/>
              </w:rPr>
              <w:t xml:space="preserve"> my community, </w:t>
            </w:r>
            <w:r>
              <w:rPr>
                <w:b w:val="0"/>
              </w:rPr>
              <w:br/>
              <w:t>I will be responsible for my actions, be hard working and strive to do my best in all I do.”</w:t>
            </w:r>
            <w:r>
              <w:rPr>
                <w:b w:val="0"/>
              </w:rPr>
              <w:br/>
            </w:r>
            <w:r>
              <w:rPr>
                <w:b w:val="0"/>
              </w:rPr>
              <w:br/>
            </w:r>
            <w:r>
              <w:rPr>
                <w:b w:val="0"/>
              </w:rPr>
              <w:br/>
              <w:t>Mission Statement:</w:t>
            </w:r>
            <w:r>
              <w:rPr>
                <w:b w:val="0"/>
              </w:rPr>
              <w:br/>
            </w:r>
            <w:r>
              <w:rPr>
                <w:b w:val="0"/>
              </w:rPr>
              <w:br/>
              <w:t xml:space="preserve">Natimuk Primary School strives to develop resilient, responsible and caring individuals, prepared for the demands of a world </w:t>
            </w:r>
            <w:r>
              <w:rPr>
                <w:b w:val="0"/>
              </w:rPr>
              <w:t xml:space="preserve">characterised by ongoing change. </w:t>
            </w:r>
            <w:r>
              <w:rPr>
                <w:b w:val="0"/>
              </w:rPr>
              <w:br/>
            </w:r>
            <w:r>
              <w:rPr>
                <w:b w:val="0"/>
              </w:rPr>
              <w:br/>
              <w:t>Rationale:</w:t>
            </w:r>
            <w:r>
              <w:rPr>
                <w:b w:val="0"/>
              </w:rPr>
              <w:br/>
            </w:r>
            <w:r>
              <w:rPr>
                <w:b w:val="0"/>
              </w:rPr>
              <w:br/>
              <w:t>Natimuk Primary School is committed to the safety and wellbeing of all children and young people. We provide a friendly and caring environment that promotes excellence in learning; encourages personal growth a</w:t>
            </w:r>
            <w:r>
              <w:rPr>
                <w:b w:val="0"/>
              </w:rPr>
              <w:t xml:space="preserve">nd wellbeing for all students; respects diversity and difference; provides support and professional motivation for staff; and involves and includes parents and the wider community. </w:t>
            </w:r>
            <w:r>
              <w:rPr>
                <w:b w:val="0"/>
              </w:rPr>
              <w:br/>
              <w:t>Teaching and Learning:</w:t>
            </w:r>
            <w:r>
              <w:rPr>
                <w:b w:val="0"/>
              </w:rPr>
              <w:br/>
              <w:t xml:space="preserve">Natimuk Primary School is committed to continually </w:t>
            </w:r>
            <w:r>
              <w:rPr>
                <w:b w:val="0"/>
              </w:rPr>
              <w:t>improving teaching and learning programs to maximize children’s potential and develop a healthy self-esteem.  We encourage ongoing learning and acknowledge the importance of ‘teaching how to learn’ by:</w:t>
            </w:r>
            <w:r>
              <w:rPr>
                <w:b w:val="0"/>
              </w:rPr>
              <w:br/>
              <w:t>•</w:t>
            </w:r>
            <w:r>
              <w:rPr>
                <w:b w:val="0"/>
              </w:rPr>
              <w:tab/>
              <w:t>encouraging and supporting ongoing learning by stude</w:t>
            </w:r>
            <w:r>
              <w:rPr>
                <w:b w:val="0"/>
              </w:rPr>
              <w:t>nts and staff</w:t>
            </w:r>
            <w:r>
              <w:rPr>
                <w:b w:val="0"/>
              </w:rPr>
              <w:br/>
              <w:t>•</w:t>
            </w:r>
            <w:r>
              <w:rPr>
                <w:b w:val="0"/>
              </w:rPr>
              <w:tab/>
              <w:t>providing every individual student with challenges appropriate to their level of social, emotional and cognitive development, thus providing them with opportunities to experience success and growth</w:t>
            </w:r>
            <w:r>
              <w:rPr>
                <w:b w:val="0"/>
              </w:rPr>
              <w:br/>
            </w:r>
            <w:r>
              <w:rPr>
                <w:b w:val="0"/>
              </w:rPr>
              <w:lastRenderedPageBreak/>
              <w:t>•</w:t>
            </w:r>
            <w:r>
              <w:rPr>
                <w:b w:val="0"/>
              </w:rPr>
              <w:tab/>
              <w:t>nurturing the development of mutual resp</w:t>
            </w:r>
            <w:r>
              <w:rPr>
                <w:b w:val="0"/>
              </w:rPr>
              <w:t>ect and a healthy self-esteem in each and every student</w:t>
            </w:r>
            <w:r>
              <w:rPr>
                <w:b w:val="0"/>
              </w:rPr>
              <w:br/>
            </w:r>
            <w:r>
              <w:rPr>
                <w:b w:val="0"/>
              </w:rPr>
              <w:br/>
              <w:t>Values and Skills:</w:t>
            </w:r>
            <w:r>
              <w:rPr>
                <w:b w:val="0"/>
              </w:rPr>
              <w:br/>
            </w:r>
            <w:r>
              <w:rPr>
                <w:b w:val="0"/>
              </w:rPr>
              <w:br/>
              <w:t>Natimuk Primary School embeds our core values in our teaching and classroom practice. We nurture students’ personal development, through our ‘you can do it’ skills.</w:t>
            </w:r>
            <w:r>
              <w:rPr>
                <w:b w:val="0"/>
              </w:rPr>
              <w:br/>
            </w:r>
            <w:r>
              <w:rPr>
                <w:b w:val="0"/>
              </w:rPr>
              <w:br/>
            </w:r>
            <w:r>
              <w:rPr>
                <w:b w:val="0"/>
              </w:rPr>
              <w:br/>
              <w:t>Our school/c</w:t>
            </w:r>
            <w:r>
              <w:rPr>
                <w:b w:val="0"/>
              </w:rPr>
              <w:t>ommunity values and skills are:</w:t>
            </w:r>
            <w:r>
              <w:rPr>
                <w:b w:val="0"/>
              </w:rPr>
              <w:br/>
              <w:t xml:space="preserve">Respect: Being tolerant of yourself and others </w:t>
            </w:r>
            <w:r>
              <w:rPr>
                <w:b w:val="0"/>
              </w:rPr>
              <w:br/>
              <w:t>•</w:t>
            </w:r>
            <w:r>
              <w:rPr>
                <w:b w:val="0"/>
              </w:rPr>
              <w:tab/>
              <w:t>Listen to peers and staff and be open to other people’s ideas and points-of-view</w:t>
            </w:r>
            <w:r>
              <w:rPr>
                <w:b w:val="0"/>
              </w:rPr>
              <w:br/>
              <w:t>•</w:t>
            </w:r>
            <w:r>
              <w:rPr>
                <w:b w:val="0"/>
              </w:rPr>
              <w:tab/>
              <w:t>Refrain from making judgements based on differences</w:t>
            </w:r>
            <w:r>
              <w:rPr>
                <w:b w:val="0"/>
              </w:rPr>
              <w:br/>
              <w:t>•</w:t>
            </w:r>
            <w:r>
              <w:rPr>
                <w:b w:val="0"/>
              </w:rPr>
              <w:tab/>
              <w:t>Talk in a confident voice - speak out</w:t>
            </w:r>
            <w:r>
              <w:rPr>
                <w:b w:val="0"/>
              </w:rPr>
              <w:t xml:space="preserve"> if you or someone else is being treated unfairly</w:t>
            </w:r>
            <w:r>
              <w:rPr>
                <w:b w:val="0"/>
              </w:rPr>
              <w:br/>
              <w:t xml:space="preserve">Integrity: Doing the right thing even when no one is watching </w:t>
            </w:r>
            <w:r>
              <w:rPr>
                <w:b w:val="0"/>
              </w:rPr>
              <w:br/>
              <w:t>•</w:t>
            </w:r>
            <w:r>
              <w:rPr>
                <w:b w:val="0"/>
              </w:rPr>
              <w:tab/>
              <w:t>Play by the rules and be fair</w:t>
            </w:r>
            <w:r>
              <w:rPr>
                <w:b w:val="0"/>
              </w:rPr>
              <w:br/>
              <w:t>•</w:t>
            </w:r>
            <w:r>
              <w:rPr>
                <w:b w:val="0"/>
              </w:rPr>
              <w:tab/>
              <w:t>Think about the impact of your actions on other people before you act</w:t>
            </w:r>
            <w:r>
              <w:rPr>
                <w:b w:val="0"/>
              </w:rPr>
              <w:br/>
              <w:t>•</w:t>
            </w:r>
            <w:r>
              <w:rPr>
                <w:b w:val="0"/>
              </w:rPr>
              <w:tab/>
              <w:t>Be independent and true to your belie</w:t>
            </w:r>
            <w:r>
              <w:rPr>
                <w:b w:val="0"/>
              </w:rPr>
              <w:t>fs – even if classmates think it is silly or stupid</w:t>
            </w:r>
            <w:r>
              <w:rPr>
                <w:b w:val="0"/>
              </w:rPr>
              <w:br/>
              <w:t>Responsibility: Owning the consequences (results) of your actions</w:t>
            </w:r>
            <w:r>
              <w:rPr>
                <w:b w:val="0"/>
              </w:rPr>
              <w:br/>
              <w:t>•</w:t>
            </w:r>
            <w:r>
              <w:rPr>
                <w:b w:val="0"/>
              </w:rPr>
              <w:tab/>
              <w:t xml:space="preserve">Be the person to rely on and trust </w:t>
            </w:r>
            <w:r>
              <w:rPr>
                <w:b w:val="0"/>
              </w:rPr>
              <w:br/>
              <w:t>•</w:t>
            </w:r>
            <w:r>
              <w:rPr>
                <w:b w:val="0"/>
              </w:rPr>
              <w:tab/>
              <w:t>Perform or complete tasks to your best ability, but don’t be afraid to ask for help</w:t>
            </w:r>
            <w:r>
              <w:rPr>
                <w:b w:val="0"/>
              </w:rPr>
              <w:br/>
              <w:t>•</w:t>
            </w:r>
            <w:r>
              <w:rPr>
                <w:b w:val="0"/>
              </w:rPr>
              <w:tab/>
              <w:t>Accept yours</w:t>
            </w:r>
            <w:r>
              <w:rPr>
                <w:b w:val="0"/>
              </w:rPr>
              <w:t xml:space="preserve">elf even when you make a mistake </w:t>
            </w:r>
            <w:r>
              <w:rPr>
                <w:b w:val="0"/>
              </w:rPr>
              <w:br/>
              <w:t xml:space="preserve">Excellence: Striving to do your absolute best </w:t>
            </w:r>
            <w:r>
              <w:rPr>
                <w:b w:val="0"/>
              </w:rPr>
              <w:br/>
              <w:t>•</w:t>
            </w:r>
            <w:r>
              <w:rPr>
                <w:b w:val="0"/>
              </w:rPr>
              <w:tab/>
              <w:t>See your goal and find steps to reach it - Dream , plan it, do it</w:t>
            </w:r>
            <w:r>
              <w:rPr>
                <w:b w:val="0"/>
              </w:rPr>
              <w:br/>
              <w:t>•</w:t>
            </w:r>
            <w:r>
              <w:rPr>
                <w:b w:val="0"/>
              </w:rPr>
              <w:tab/>
              <w:t>Give effort – the harder you try, the more successful you will be</w:t>
            </w:r>
            <w:r>
              <w:rPr>
                <w:b w:val="0"/>
              </w:rPr>
              <w:br/>
              <w:t>•</w:t>
            </w:r>
            <w:r>
              <w:rPr>
                <w:b w:val="0"/>
              </w:rPr>
              <w:tab/>
              <w:t xml:space="preserve">Work Tough – persist with the things </w:t>
            </w:r>
            <w:r>
              <w:rPr>
                <w:b w:val="0"/>
              </w:rPr>
              <w:t>you don’t enjoy, find difficult or boring</w:t>
            </w:r>
            <w:r>
              <w:rPr>
                <w:b w:val="0"/>
              </w:rPr>
              <w:br/>
              <w:t>•</w:t>
            </w:r>
            <w:r>
              <w:rPr>
                <w:b w:val="0"/>
              </w:rPr>
              <w:tab/>
              <w:t>Be positive even when things aren’t going your way – you can do it!</w:t>
            </w:r>
          </w:p>
        </w:tc>
      </w:tr>
      <w:tr w:rsidR="00873CFB" w:rsidTr="003329F2">
        <w:trPr>
          <w:trHeight w:val="15"/>
        </w:trPr>
        <w:tc>
          <w:tcPr>
            <w:tcW w:w="10774" w:type="dxa"/>
            <w:shd w:val="clear" w:color="auto" w:fill="D9D9D9" w:themeFill="background1" w:themeFillShade="D9"/>
          </w:tcPr>
          <w:p w:rsidR="00777DB2" w:rsidRDefault="00F925DE" w:rsidP="00994A0F">
            <w:pPr>
              <w:pStyle w:val="Heading3"/>
              <w:spacing w:before="0" w:after="0"/>
              <w:rPr>
                <w:szCs w:val="20"/>
              </w:rPr>
            </w:pPr>
            <w:r w:rsidRPr="00D3162B">
              <w:rPr>
                <w:sz w:val="22"/>
                <w:szCs w:val="22"/>
              </w:rPr>
              <w:lastRenderedPageBreak/>
              <w:t>Framework for Improving Student Outcomes (FISO)</w:t>
            </w:r>
          </w:p>
        </w:tc>
      </w:tr>
      <w:tr w:rsidR="00873CFB" w:rsidTr="003329F2">
        <w:trPr>
          <w:trHeight w:val="15"/>
        </w:trPr>
        <w:tc>
          <w:tcPr>
            <w:tcW w:w="10774" w:type="dxa"/>
            <w:shd w:val="clear" w:color="auto" w:fill="FFFFFF" w:themeFill="background1"/>
          </w:tcPr>
          <w:p w:rsidR="00777DB2" w:rsidRPr="005A75E6" w:rsidRDefault="00F925DE" w:rsidP="00994A0F">
            <w:pPr>
              <w:pStyle w:val="Heading3"/>
              <w:spacing w:before="0" w:after="0"/>
              <w:rPr>
                <w:b w:val="0"/>
                <w:szCs w:val="20"/>
              </w:rPr>
            </w:pPr>
            <w:r>
              <w:rPr>
                <w:b w:val="0"/>
              </w:rPr>
              <w:t>Natimuk Primary School undertook a school review at the end of 2018 so a new Strategic Plan wa</w:t>
            </w:r>
            <w:r>
              <w:rPr>
                <w:b w:val="0"/>
              </w:rPr>
              <w:t>s created at the start of this year.  The focus for the next four years is on Numeracy and LIteracy, promoting STEM across the curriculum and improving Student Voice and Agency.  Our efforts this year were on investigating and exploring current practices a</w:t>
            </w:r>
            <w:r>
              <w:rPr>
                <w:b w:val="0"/>
              </w:rPr>
              <w:t>nd new programs and upskilling staff to ensure an easy transition to the implementation of new programs.  Our exploration and implementation were in CAFE Reading and SMART spelling.  These new programs promote communication and goal setting and assist in c</w:t>
            </w:r>
            <w:r>
              <w:rPr>
                <w:b w:val="0"/>
              </w:rPr>
              <w:t>urriculum planning due to their clear and explicit strategies.</w:t>
            </w:r>
            <w:r>
              <w:rPr>
                <w:b w:val="0"/>
              </w:rPr>
              <w:br/>
            </w:r>
            <w:r>
              <w:rPr>
                <w:b w:val="0"/>
              </w:rPr>
              <w:br/>
              <w:t>KIS 1.a</w:t>
            </w:r>
            <w:r>
              <w:rPr>
                <w:b w:val="0"/>
              </w:rPr>
              <w:br/>
              <w:t>Building practice excellence</w:t>
            </w:r>
            <w:r>
              <w:rPr>
                <w:b w:val="0"/>
              </w:rPr>
              <w:tab/>
              <w:t>Consolidate capacity of teachers to consistently deliver the school’s instruction model, high impact teaching strategies</w:t>
            </w:r>
            <w:r>
              <w:rPr>
                <w:b w:val="0"/>
              </w:rPr>
              <w:br/>
              <w:t>The outcomes desired by this strat</w:t>
            </w:r>
            <w:r>
              <w:rPr>
                <w:b w:val="0"/>
              </w:rPr>
              <w:t xml:space="preserve">egy were: </w:t>
            </w:r>
            <w:r>
              <w:rPr>
                <w:b w:val="0"/>
              </w:rPr>
              <w:br/>
              <w:t>Increased Staff knowledge of High Impact Teaching Strategies</w:t>
            </w:r>
            <w:r>
              <w:rPr>
                <w:b w:val="0"/>
              </w:rPr>
              <w:br/>
              <w:t>Improved communication / feedback between teachers and students</w:t>
            </w:r>
            <w:r>
              <w:rPr>
                <w:b w:val="0"/>
              </w:rPr>
              <w:br/>
              <w:t>Student's actively engaged with learning goals and planning their own learning</w:t>
            </w:r>
            <w:r>
              <w:rPr>
                <w:b w:val="0"/>
              </w:rPr>
              <w:br/>
              <w:t>Teacher's planning will show realistic bu</w:t>
            </w:r>
            <w:r>
              <w:rPr>
                <w:b w:val="0"/>
              </w:rPr>
              <w:t>t differentiated learning goals</w:t>
            </w:r>
            <w:r>
              <w:rPr>
                <w:b w:val="0"/>
              </w:rPr>
              <w:br/>
              <w:t>Consistency in of practice across the whole school</w:t>
            </w:r>
            <w:r>
              <w:rPr>
                <w:b w:val="0"/>
              </w:rPr>
              <w:br/>
            </w:r>
            <w:r>
              <w:rPr>
                <w:b w:val="0"/>
              </w:rPr>
              <w:br/>
              <w:t>KIS 2.a</w:t>
            </w:r>
            <w:r>
              <w:rPr>
                <w:b w:val="0"/>
              </w:rPr>
              <w:br/>
              <w:t>Curriculum planning and assessment</w:t>
            </w:r>
            <w:r>
              <w:rPr>
                <w:b w:val="0"/>
              </w:rPr>
              <w:tab/>
              <w:t>Develop and implement a curriculum plan and assessment framework to inform student learning.</w:t>
            </w:r>
            <w:r>
              <w:rPr>
                <w:b w:val="0"/>
              </w:rPr>
              <w:br/>
              <w:t>The desired outcomes for this strate</w:t>
            </w:r>
            <w:r>
              <w:rPr>
                <w:b w:val="0"/>
              </w:rPr>
              <w:t>gy were:</w:t>
            </w:r>
            <w:r>
              <w:rPr>
                <w:b w:val="0"/>
              </w:rPr>
              <w:br/>
              <w:t>Teacher understanding of the Numeracy content and instruction</w:t>
            </w:r>
            <w:r>
              <w:rPr>
                <w:b w:val="0"/>
              </w:rPr>
              <w:br/>
              <w:t>Improved teaching practice to match learning intentions and success criteria</w:t>
            </w:r>
            <w:r>
              <w:rPr>
                <w:b w:val="0"/>
              </w:rPr>
              <w:br/>
              <w:t>Improved student motivation and stimulated learning as lessons become more meaningful and well planned and p</w:t>
            </w:r>
            <w:r>
              <w:rPr>
                <w:b w:val="0"/>
              </w:rPr>
              <w:t>resented</w:t>
            </w:r>
            <w:r>
              <w:rPr>
                <w:b w:val="0"/>
              </w:rPr>
              <w:br/>
              <w:t>More accurate teacher assessment of student abilities</w:t>
            </w:r>
            <w:r>
              <w:rPr>
                <w:b w:val="0"/>
              </w:rPr>
              <w:br/>
              <w:t>Students and teachers more informed to set learning goals</w:t>
            </w:r>
            <w:r>
              <w:rPr>
                <w:b w:val="0"/>
              </w:rPr>
              <w:br/>
            </w:r>
            <w:r>
              <w:rPr>
                <w:b w:val="0"/>
              </w:rPr>
              <w:br/>
              <w:t>KIS 3.a</w:t>
            </w:r>
            <w:r>
              <w:rPr>
                <w:b w:val="0"/>
              </w:rPr>
              <w:br/>
              <w:t>Building practice excellence</w:t>
            </w:r>
            <w:r>
              <w:rPr>
                <w:b w:val="0"/>
              </w:rPr>
              <w:tab/>
              <w:t>Build teacher capacity in order to promote and amplify student voice and agency in student learni</w:t>
            </w:r>
            <w:r>
              <w:rPr>
                <w:b w:val="0"/>
              </w:rPr>
              <w:t>ng.</w:t>
            </w:r>
            <w:r>
              <w:rPr>
                <w:b w:val="0"/>
              </w:rPr>
              <w:br/>
              <w:t>The desired outcomes for this strategy were:</w:t>
            </w:r>
            <w:r>
              <w:rPr>
                <w:b w:val="0"/>
              </w:rPr>
              <w:br/>
              <w:t>Increased student involvement in setting learning goals</w:t>
            </w:r>
            <w:r>
              <w:rPr>
                <w:b w:val="0"/>
              </w:rPr>
              <w:br/>
              <w:t>Increased student involvement in curriculum planning</w:t>
            </w:r>
            <w:r>
              <w:rPr>
                <w:b w:val="0"/>
              </w:rPr>
              <w:br/>
              <w:t>Increased teacher capacity to motivate and stimulate the students in learning</w:t>
            </w:r>
            <w:r>
              <w:rPr>
                <w:b w:val="0"/>
              </w:rPr>
              <w:br/>
            </w:r>
            <w:r>
              <w:rPr>
                <w:b w:val="0"/>
              </w:rPr>
              <w:br/>
              <w:t>Stimulating Learnin</w:t>
            </w:r>
            <w:r>
              <w:rPr>
                <w:b w:val="0"/>
              </w:rPr>
              <w:t>g and Motivation and Interest were the key areas for the 2019 and 2020 Annual Implementation Plan and are key goals in our newly formed Strategic Plan.  Whilst currently in a low percentage range it is our aim to work with students and staff to gain unders</w:t>
            </w:r>
            <w:r>
              <w:rPr>
                <w:b w:val="0"/>
              </w:rPr>
              <w:t xml:space="preserve">tanding in what and how Stimulating Learning, and Motivation and Interest looks like. </w:t>
            </w:r>
          </w:p>
        </w:tc>
      </w:tr>
      <w:tr w:rsidR="00873CFB" w:rsidTr="003329F2">
        <w:trPr>
          <w:trHeight w:val="15"/>
        </w:trPr>
        <w:tc>
          <w:tcPr>
            <w:tcW w:w="10774" w:type="dxa"/>
            <w:shd w:val="clear" w:color="auto" w:fill="D9D9D9" w:themeFill="background1" w:themeFillShade="D9"/>
          </w:tcPr>
          <w:p w:rsidR="00777DB2" w:rsidRDefault="00F925DE" w:rsidP="00994A0F">
            <w:pPr>
              <w:pStyle w:val="Heading3"/>
              <w:spacing w:before="0" w:after="0"/>
              <w:rPr>
                <w:szCs w:val="20"/>
              </w:rPr>
            </w:pPr>
            <w:r w:rsidRPr="00D3162B">
              <w:rPr>
                <w:sz w:val="22"/>
                <w:szCs w:val="22"/>
              </w:rPr>
              <w:t>Achievement</w:t>
            </w:r>
          </w:p>
        </w:tc>
      </w:tr>
      <w:tr w:rsidR="00873CFB" w:rsidTr="003329F2">
        <w:trPr>
          <w:trHeight w:val="15"/>
        </w:trPr>
        <w:tc>
          <w:tcPr>
            <w:tcW w:w="10774" w:type="dxa"/>
            <w:shd w:val="clear" w:color="auto" w:fill="FFFFFF" w:themeFill="background1"/>
          </w:tcPr>
          <w:p w:rsidR="00777DB2" w:rsidRPr="005A75E6" w:rsidRDefault="00F925DE" w:rsidP="00994A0F">
            <w:pPr>
              <w:pStyle w:val="Heading3"/>
              <w:spacing w:before="0" w:after="0"/>
              <w:rPr>
                <w:b w:val="0"/>
                <w:szCs w:val="20"/>
              </w:rPr>
            </w:pPr>
            <w:r>
              <w:rPr>
                <w:b w:val="0"/>
              </w:rPr>
              <w:t>Natimuk Primary School invested heavily in the consistency of programs and curriculum delivery during 2019.  Various forms of assessment enabled a collecti</w:t>
            </w:r>
            <w:r>
              <w:rPr>
                <w:b w:val="0"/>
              </w:rPr>
              <w:t>on of data that was analysed to inform teaching and learning.  Staff undertook Professional Development internally and externally to build teaching capacity and practice excellence.  The introduction of CAFE Reading from Prep to Year 4 has been the catalys</w:t>
            </w:r>
            <w:r>
              <w:rPr>
                <w:b w:val="0"/>
              </w:rPr>
              <w:t xml:space="preserve">t for reading improvement across the year levels.  We will continue to implement this program to observe reading growth over time. </w:t>
            </w:r>
            <w:r>
              <w:rPr>
                <w:b w:val="0"/>
              </w:rPr>
              <w:br/>
              <w:t xml:space="preserve"> Naplan - </w:t>
            </w:r>
            <w:r>
              <w:rPr>
                <w:b w:val="0"/>
              </w:rPr>
              <w:br/>
              <w:t>Literacy</w:t>
            </w:r>
            <w:r>
              <w:rPr>
                <w:b w:val="0"/>
              </w:rPr>
              <w:br/>
              <w:t>100% of year 3 and year 5 students achieved above the national minimum standards in Writing, Spelling, G</w:t>
            </w:r>
            <w:r>
              <w:rPr>
                <w:b w:val="0"/>
              </w:rPr>
              <w:t xml:space="preserve">rammar and Punctuation in 2019.  In Reading 67% of students achieved at the highest level, well above the national minimum standards in Year 3 while 100% of year 5 achieved above the national minimum standards.  </w:t>
            </w:r>
            <w:r>
              <w:rPr>
                <w:b w:val="0"/>
              </w:rPr>
              <w:br/>
              <w:t xml:space="preserve">Numeracy - </w:t>
            </w:r>
            <w:r>
              <w:rPr>
                <w:b w:val="0"/>
              </w:rPr>
              <w:br/>
              <w:t xml:space="preserve">100% of Year 5 and 67% of Year </w:t>
            </w:r>
            <w:r>
              <w:rPr>
                <w:b w:val="0"/>
              </w:rPr>
              <w:t xml:space="preserve">3 achieved above the national minimum standards. </w:t>
            </w:r>
            <w:r>
              <w:rPr>
                <w:b w:val="0"/>
              </w:rPr>
              <w:br/>
              <w:t>In Year 3 where students were not at or above the national minimum standard they participated in intervention and support programs provided by school.</w:t>
            </w:r>
            <w:r>
              <w:rPr>
                <w:b w:val="0"/>
              </w:rPr>
              <w:br/>
            </w:r>
          </w:p>
        </w:tc>
      </w:tr>
      <w:tr w:rsidR="00873CFB" w:rsidTr="003329F2">
        <w:trPr>
          <w:trHeight w:val="15"/>
        </w:trPr>
        <w:tc>
          <w:tcPr>
            <w:tcW w:w="10774" w:type="dxa"/>
            <w:shd w:val="clear" w:color="auto" w:fill="D9D9D9" w:themeFill="background1" w:themeFillShade="D9"/>
          </w:tcPr>
          <w:p w:rsidR="00777DB2" w:rsidRPr="00D3162B" w:rsidRDefault="00F925DE" w:rsidP="00994A0F">
            <w:pPr>
              <w:pStyle w:val="Heading3"/>
              <w:spacing w:before="0" w:after="0"/>
              <w:rPr>
                <w:sz w:val="22"/>
                <w:szCs w:val="22"/>
              </w:rPr>
            </w:pPr>
            <w:r w:rsidRPr="00D3162B">
              <w:rPr>
                <w:sz w:val="22"/>
                <w:szCs w:val="22"/>
              </w:rPr>
              <w:t>Engagement</w:t>
            </w:r>
          </w:p>
        </w:tc>
      </w:tr>
      <w:tr w:rsidR="00873CFB" w:rsidTr="003329F2">
        <w:trPr>
          <w:trHeight w:val="15"/>
        </w:trPr>
        <w:tc>
          <w:tcPr>
            <w:tcW w:w="10774" w:type="dxa"/>
            <w:shd w:val="clear" w:color="auto" w:fill="FFFFFF" w:themeFill="background1"/>
          </w:tcPr>
          <w:p w:rsidR="00777DB2" w:rsidRPr="005A75E6" w:rsidRDefault="00F925DE" w:rsidP="00994A0F">
            <w:pPr>
              <w:pStyle w:val="Heading3"/>
              <w:spacing w:before="0" w:after="0"/>
              <w:rPr>
                <w:b w:val="0"/>
                <w:szCs w:val="20"/>
              </w:rPr>
            </w:pPr>
            <w:r>
              <w:rPr>
                <w:b w:val="0"/>
              </w:rPr>
              <w:t>With the introduction of an online system</w:t>
            </w:r>
            <w:r>
              <w:rPr>
                <w:b w:val="0"/>
              </w:rPr>
              <w:t xml:space="preserve"> to address attendance there has been a significant reduction in unexplained absences across all year levels.  Parents are sent an SMS in the morning when a student is marked absent with no explanation.  Parents responded quickly and gave more information </w:t>
            </w:r>
            <w:r>
              <w:rPr>
                <w:b w:val="0"/>
              </w:rPr>
              <w:t>which enabled the absence to be approved.  A more efficient coding system has more easily categorized the absence making it easier to analyse and address. 73% of students have a positive attitude towards attendance.</w:t>
            </w:r>
            <w:r>
              <w:rPr>
                <w:b w:val="0"/>
              </w:rPr>
              <w:br/>
              <w:t>Family holidays still account for the hi</w:t>
            </w:r>
            <w:r>
              <w:rPr>
                <w:b w:val="0"/>
              </w:rPr>
              <w:t>ghest number of absences across all year levels.  This will always be the case as farmers look for the most ideal time within their work schedule to be with the family and take some time off.  A number of families have international relatives and will atta</w:t>
            </w:r>
            <w:r>
              <w:rPr>
                <w:b w:val="0"/>
              </w:rPr>
              <w:t xml:space="preserve">ch an extra week to a school holiday to make an international family visit worthwhile.  The next significant absence is medical.   No one year level is more or less absent than another.  </w:t>
            </w:r>
          </w:p>
        </w:tc>
      </w:tr>
      <w:tr w:rsidR="00873CFB" w:rsidTr="003329F2">
        <w:trPr>
          <w:trHeight w:val="15"/>
        </w:trPr>
        <w:tc>
          <w:tcPr>
            <w:tcW w:w="10774" w:type="dxa"/>
            <w:shd w:val="clear" w:color="auto" w:fill="D9D9D9" w:themeFill="background1" w:themeFillShade="D9"/>
          </w:tcPr>
          <w:p w:rsidR="00777DB2" w:rsidRPr="00D3162B" w:rsidRDefault="00F925DE" w:rsidP="00994A0F">
            <w:pPr>
              <w:pStyle w:val="Heading3"/>
              <w:spacing w:before="0" w:after="0"/>
              <w:rPr>
                <w:sz w:val="22"/>
                <w:szCs w:val="22"/>
              </w:rPr>
            </w:pPr>
            <w:r w:rsidRPr="00F40AEE">
              <w:rPr>
                <w:sz w:val="22"/>
                <w:szCs w:val="22"/>
              </w:rPr>
              <w:t>Wellbeing</w:t>
            </w:r>
          </w:p>
        </w:tc>
      </w:tr>
      <w:tr w:rsidR="00873CFB" w:rsidTr="003329F2">
        <w:trPr>
          <w:trHeight w:val="15"/>
        </w:trPr>
        <w:tc>
          <w:tcPr>
            <w:tcW w:w="10774" w:type="dxa"/>
            <w:shd w:val="clear" w:color="auto" w:fill="FFFFFF" w:themeFill="background1"/>
          </w:tcPr>
          <w:p w:rsidR="00777DB2" w:rsidRPr="007C43EB" w:rsidRDefault="00F925DE" w:rsidP="00994A0F">
            <w:pPr>
              <w:pStyle w:val="Heading3"/>
              <w:spacing w:before="0" w:after="0"/>
              <w:rPr>
                <w:b w:val="0"/>
                <w:szCs w:val="20"/>
              </w:rPr>
            </w:pPr>
            <w:r>
              <w:rPr>
                <w:b w:val="0"/>
              </w:rPr>
              <w:t xml:space="preserve">The safety and well-being of students at Natimuk Primary School is of paramount importance.  We begin our day with informal greetings as students and parents arrive at school.  Everyone is made to feel welcome and can stay and be part of learning programs </w:t>
            </w:r>
            <w:r>
              <w:rPr>
                <w:b w:val="0"/>
              </w:rPr>
              <w:t xml:space="preserve">if they choose.  </w:t>
            </w:r>
            <w:r>
              <w:rPr>
                <w:b w:val="0"/>
              </w:rPr>
              <w:br/>
              <w:t xml:space="preserve">In our Attitudes to School Survey it shows that Student Safety lies in the fourth quartile with 78% of children feeling that the school is managing bullying and that 92% of children are not bullied at our school.  </w:t>
            </w:r>
            <w:r>
              <w:rPr>
                <w:b w:val="0"/>
              </w:rPr>
              <w:br/>
              <w:t>The Parent Opinion Surv</w:t>
            </w:r>
            <w:r>
              <w:rPr>
                <w:b w:val="0"/>
              </w:rPr>
              <w:t xml:space="preserve">ey shows that 88% of parents are involved in the school and  93% have a positive response to the communication with the school.  Parent Satisfaction is at 82% and School Pride and Confidence is at 83%. </w:t>
            </w:r>
            <w:r>
              <w:rPr>
                <w:b w:val="0"/>
              </w:rPr>
              <w:br/>
              <w:t>There is a 91% endorsement for Staff Safety and Wellb</w:t>
            </w:r>
            <w:r>
              <w:rPr>
                <w:b w:val="0"/>
              </w:rPr>
              <w:t>eing with all areas of safety generating an overwhelming postive reponse.</w:t>
            </w:r>
            <w:r>
              <w:rPr>
                <w:b w:val="0"/>
              </w:rPr>
              <w:br/>
              <w:t xml:space="preserve">We continue to use the Restorative Practice approach to behaviour management to support Student Voice and Agency.  The Bucket Fillers wellbeing program is in its second year and has </w:t>
            </w:r>
            <w:r>
              <w:rPr>
                <w:b w:val="0"/>
              </w:rPr>
              <w:t xml:space="preserve">fantastic traction as children use postivie language both in and out of the classroom, reflective of that being taught.  We have received postive parent feedback as the language is simple and can be used at home. </w:t>
            </w:r>
          </w:p>
        </w:tc>
      </w:tr>
      <w:tr w:rsidR="00873CFB" w:rsidTr="003329F2">
        <w:trPr>
          <w:trHeight w:val="15"/>
        </w:trPr>
        <w:tc>
          <w:tcPr>
            <w:tcW w:w="10774" w:type="dxa"/>
            <w:shd w:val="clear" w:color="auto" w:fill="D9D9D9" w:themeFill="background1" w:themeFillShade="D9"/>
          </w:tcPr>
          <w:p w:rsidR="00777DB2" w:rsidRPr="00D3162B" w:rsidRDefault="00F925DE" w:rsidP="00994A0F">
            <w:pPr>
              <w:pStyle w:val="Heading3"/>
              <w:spacing w:before="0" w:after="0"/>
              <w:rPr>
                <w:sz w:val="22"/>
                <w:szCs w:val="22"/>
              </w:rPr>
            </w:pPr>
            <w:r w:rsidRPr="00F40AEE">
              <w:rPr>
                <w:sz w:val="22"/>
                <w:szCs w:val="22"/>
              </w:rPr>
              <w:t>Financial performance and position</w:t>
            </w:r>
          </w:p>
        </w:tc>
      </w:tr>
      <w:tr w:rsidR="00873CFB" w:rsidTr="003329F2">
        <w:trPr>
          <w:trHeight w:val="15"/>
        </w:trPr>
        <w:tc>
          <w:tcPr>
            <w:tcW w:w="10774" w:type="dxa"/>
            <w:shd w:val="clear" w:color="auto" w:fill="FFFFFF" w:themeFill="background1"/>
          </w:tcPr>
          <w:p w:rsidR="00777DB2" w:rsidRPr="005A75E6" w:rsidRDefault="00F925DE" w:rsidP="00994A0F">
            <w:pPr>
              <w:pStyle w:val="Heading3"/>
              <w:spacing w:before="0" w:after="0"/>
              <w:rPr>
                <w:b w:val="0"/>
                <w:szCs w:val="20"/>
              </w:rPr>
            </w:pPr>
            <w:r>
              <w:rPr>
                <w:b w:val="0"/>
              </w:rPr>
              <w:t>During 2019 we continued to improve and consolidate our financial position by making effective workforce and resource management decisions.  While the current trend shows a marked increase in our financial position we have committed our funds strategically</w:t>
            </w:r>
            <w:r>
              <w:rPr>
                <w:b w:val="0"/>
              </w:rPr>
              <w:t xml:space="preserve"> to support our school in both the short term and the long term.  Our fiscal policy strategies included provision for asset replacement, building and maintenance projects, on-going staffing contingencies, and curriculum provision.  It was important for us </w:t>
            </w:r>
            <w:r>
              <w:rPr>
                <w:b w:val="0"/>
              </w:rPr>
              <w:t>to look at our projected enrolments and staffing profile and budget accordingly.  We have made long term plans to cater for the downward trend in enrolments and to manage salary increments for our workforce as well as a change in our workforce profile.  We</w:t>
            </w:r>
            <w:r>
              <w:rPr>
                <w:b w:val="0"/>
              </w:rPr>
              <w:t xml:space="preserve"> finished the year with a small surplus after paying a deficit recovery of $35,061.  Our major source of revenue is the Student Resource Package and our main expenditure is staffing.  We received a number of grants during 2019 to address Inclusion and abse</w:t>
            </w:r>
            <w:r>
              <w:rPr>
                <w:b w:val="0"/>
              </w:rPr>
              <w:t>nces.  All funds received from the Department, or raised by the school, have been expended, or committed</w:t>
            </w:r>
            <w:r>
              <w:rPr>
                <w:b w:val="0"/>
              </w:rPr>
              <w:br/>
              <w:t>to subsequent years, to support the achievement of educational outcomes and other operational needs of the school consistent with Departmental policies</w:t>
            </w:r>
            <w:r>
              <w:rPr>
                <w:b w:val="0"/>
              </w:rPr>
              <w:t xml:space="preserve">, school council approvals and the intent / purposes for which funding was provided or raised.  </w:t>
            </w:r>
            <w:r>
              <w:rPr>
                <w:b w:val="0"/>
              </w:rPr>
              <w:br/>
              <w:t xml:space="preserve">Over the years we have established a staff who specialise in specific areas of the curriculum, and support staff and students in the classroom.  Our financial </w:t>
            </w:r>
            <w:r>
              <w:rPr>
                <w:b w:val="0"/>
              </w:rPr>
              <w:t>position enables us to continue to make provision in the curriculum for all subjects, taught by staff with expertise in their field.  We are demonstrating that we are spending the year’s money to benefit the students within the financial year especially th</w:t>
            </w:r>
            <w:r>
              <w:rPr>
                <w:b w:val="0"/>
              </w:rPr>
              <w:t>e equity funding allocated this year.  We are able to maintain our buildings and grounds and provide adequate materials and resources to support the curriculum.  Our Parent’s Association is a dynamic group who work tirelessly to fundraise for extra resourc</w:t>
            </w:r>
            <w:r>
              <w:rPr>
                <w:b w:val="0"/>
              </w:rPr>
              <w:t>es and equipment that will benefit our students.  They are instrumental in purchasing some of our big ticket items and supporting camps and excursions.  The members of the School Council and school community are very dedicated to the school and its surroun</w:t>
            </w:r>
            <w:r>
              <w:rPr>
                <w:b w:val="0"/>
              </w:rPr>
              <w:t>ds and with their expertise and equipment we are able to make improvements to our school that would otherwise be impossible.  I would like to formally acknowledge our appreciation to our school families for their enthusiasm and commitment to our school; th</w:t>
            </w:r>
            <w:r>
              <w:rPr>
                <w:b w:val="0"/>
              </w:rPr>
              <w:t>eir support is highly valued and we are extremely grateful.</w:t>
            </w:r>
          </w:p>
        </w:tc>
      </w:tr>
      <w:tr w:rsidR="00873CFB" w:rsidTr="003329F2">
        <w:trPr>
          <w:trHeight w:val="15"/>
        </w:trPr>
        <w:tc>
          <w:tcPr>
            <w:tcW w:w="10774" w:type="dxa"/>
            <w:shd w:val="clear" w:color="auto" w:fill="D9D9D9" w:themeFill="background1" w:themeFillShade="D9"/>
          </w:tcPr>
          <w:p w:rsidR="00BF0096" w:rsidRPr="005A75E6" w:rsidRDefault="00F925DE" w:rsidP="00C71E7A">
            <w:pPr>
              <w:pStyle w:val="Heading3"/>
              <w:spacing w:before="0" w:after="0"/>
              <w:rPr>
                <w:b w:val="0"/>
                <w:szCs w:val="20"/>
              </w:rPr>
            </w:pPr>
          </w:p>
          <w:p w:rsidR="00873CFB" w:rsidRDefault="00F925DE">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2" w:history="1">
              <w:r>
                <w:rPr>
                  <w:rFonts w:eastAsia="Arial"/>
                  <w:b/>
                  <w:bCs/>
                  <w:color w:val="0000EE"/>
                  <w:sz w:val="22"/>
                  <w:szCs w:val="22"/>
                  <w:u w:val="single"/>
                </w:rPr>
                <w:t xml:space="preserve">http://www.natimukps.vic.edu.au </w:t>
              </w:r>
            </w:hyperlink>
          </w:p>
          <w:p w:rsidR="00873CFB" w:rsidRDefault="00873CFB"/>
        </w:tc>
      </w:tr>
    </w:tbl>
    <w:p w:rsidR="005E684F" w:rsidRPr="00FA10DB" w:rsidRDefault="00F925DE" w:rsidP="00F73E5D">
      <w:pPr>
        <w:ind w:right="-632"/>
        <w:rPr>
          <w:b/>
          <w:color w:val="AF272F"/>
          <w:sz w:val="36"/>
          <w:szCs w:val="44"/>
        </w:rPr>
        <w:sectPr w:rsidR="005E684F" w:rsidRPr="00FA10DB" w:rsidSect="005D3640">
          <w:headerReference w:type="even" r:id="rId23"/>
          <w:headerReference w:type="default" r:id="rId24"/>
          <w:footerReference w:type="default" r:id="rId25"/>
          <w:headerReference w:type="first" r:id="rId26"/>
          <w:pgSz w:w="11906" w:h="16838" w:code="9"/>
          <w:pgMar w:top="2036" w:right="1240" w:bottom="1304" w:left="1304" w:header="624" w:footer="532" w:gutter="0"/>
          <w:cols w:space="397"/>
          <w:docGrid w:linePitch="360"/>
        </w:sectPr>
      </w:pPr>
    </w:p>
    <w:p w:rsidR="00ED2B37" w:rsidRDefault="00F925DE">
      <w:pPr>
        <w:pStyle w:val="ESHeading1"/>
        <w:jc w:val="center"/>
        <w:rPr>
          <w:color w:val="auto"/>
        </w:rPr>
      </w:pPr>
      <w:r>
        <w:rPr>
          <w:color w:val="auto"/>
        </w:rPr>
        <w:t>Performance Summary</w:t>
      </w:r>
    </w:p>
    <w:p w:rsidR="00ED2B37" w:rsidRDefault="00F925DE">
      <w:pPr>
        <w:pStyle w:val="ESBodyText"/>
      </w:pPr>
      <w:r>
        <w:t>The Government School Performance Summary provides an overview of how this school is contributing to the objectives of the Education State</w:t>
      </w:r>
      <w:r>
        <w:t xml:space="preserve"> and how it compares to other Victorian Government schools.</w:t>
      </w:r>
    </w:p>
    <w:p w:rsidR="00ED2B37" w:rsidRDefault="00F925DE">
      <w:pPr>
        <w:pStyle w:val="ESBodyText"/>
      </w:pPr>
      <w:r>
        <w:t>All schools work in partnership with their school community to improve outcomes for children and young people.  Sharing this information with parents and the wider school community helps to suppor</w:t>
      </w:r>
      <w:r>
        <w:t>t community engagement in student learning, a key priority of the Framework for Improving Student Outcomes.</w:t>
      </w:r>
    </w:p>
    <w:p w:rsidR="00ED2B37" w:rsidRDefault="00F925DE">
      <w:pPr>
        <w:pStyle w:val="ESBodyText"/>
      </w:pPr>
      <w:r>
        <w:t>Refer to the ‘How to read the Annual Report’ section for help on how to interpret this report.</w:t>
      </w:r>
    </w:p>
    <w:p w:rsidR="00ED2B37" w:rsidRDefault="00F925DE">
      <w:pPr>
        <w:pStyle w:val="ESHeading2"/>
        <w:rPr>
          <w:color w:val="00008B"/>
          <w:u w:val="single"/>
        </w:rPr>
      </w:pPr>
      <w:r>
        <w:rPr>
          <w:color w:val="00008B"/>
          <w:u w:val="single"/>
        </w:rPr>
        <w:t>School profile</w:t>
      </w:r>
    </w:p>
    <w:p w:rsidR="00ED2B37" w:rsidRDefault="00F925DE">
      <w:pPr>
        <w:pStyle w:val="ESBodyText"/>
        <w:ind w:left="709" w:hanging="709"/>
        <w:rPr>
          <w:b/>
          <w:i/>
        </w:rPr>
      </w:pPr>
      <w:r>
        <w:rPr>
          <w:b/>
          <w:i/>
        </w:rPr>
        <w:t>Key:</w:t>
      </w:r>
      <w:r>
        <w:rPr>
          <w:b/>
          <w:i/>
        </w:rPr>
        <w:tab/>
        <w:t>“Middle 60 percent low” to “middl</w:t>
      </w:r>
      <w:r>
        <w:rPr>
          <w:b/>
          <w:i/>
        </w:rPr>
        <w:t>e 60 percent high” is the range of results for the middle 60 percent of Victorian Government primary school type.</w:t>
      </w:r>
    </w:p>
    <w:p w:rsidR="00ED2B37" w:rsidRDefault="00F925DE">
      <w:pPr>
        <w:pStyle w:val="ESImageorGraphTitle"/>
        <w:rPr>
          <w:color w:val="00008B"/>
        </w:rPr>
      </w:pPr>
      <w:r>
        <w:rPr>
          <w:color w:val="00008B"/>
        </w:rPr>
        <w:t>Enrolment Profile</w:t>
      </w:r>
    </w:p>
    <w:p w:rsidR="00ED2B37" w:rsidRDefault="00F925DE">
      <w:pPr>
        <w:pStyle w:val="ESBodyText"/>
      </w:pPr>
      <w:r>
        <w:t>A total of   30 students were enrolled at this school in 2019,   15 female and   15 male.</w:t>
      </w:r>
    </w:p>
    <w:p w:rsidR="00ED2B37" w:rsidRDefault="00F925DE">
      <w:pPr>
        <w:pStyle w:val="ESBodyText"/>
      </w:pPr>
      <w:r>
        <w:t xml:space="preserve">0 percent of students had English </w:t>
      </w:r>
      <w:r>
        <w:t>as an additional language and 0 percent were Aboriginal or Torres Strait Islander.</w:t>
      </w:r>
    </w:p>
    <w:p w:rsidR="00ED2B37" w:rsidRDefault="00F925DE">
      <w:pPr>
        <w:pStyle w:val="ESBodyText"/>
        <w:rPr>
          <w:color w:val="00008B"/>
        </w:rPr>
      </w:pPr>
    </w:p>
    <w:p w:rsidR="00ED2B37" w:rsidRDefault="00F925DE">
      <w:pPr>
        <w:pStyle w:val="ESBodyText"/>
        <w:rPr>
          <w:rFonts w:eastAsiaTheme="majorEastAsia" w:cstheme="majorBidi"/>
          <w:b/>
          <w:bCs/>
          <w:color w:val="00008B"/>
          <w:szCs w:val="20"/>
        </w:rPr>
      </w:pPr>
      <w:r>
        <w:rPr>
          <w:rFonts w:eastAsiaTheme="majorEastAsia" w:cstheme="majorBidi"/>
          <w:b/>
          <w:bCs/>
          <w:color w:val="00008B"/>
          <w:szCs w:val="20"/>
        </w:rPr>
        <w:t>Overall Socio-Economic Profile</w:t>
      </w:r>
    </w:p>
    <w:p w:rsidR="00ED2B37" w:rsidRDefault="00F925DE">
      <w:pPr>
        <w:pStyle w:val="ESBodyText"/>
      </w:pPr>
      <w:r>
        <w:t>The overall school’s socio-economic profile is based on the school's Student Family Occupation and Education index (SFOE) which takes into ac</w:t>
      </w:r>
      <w:r>
        <w:t>count parents' occupations and education.</w:t>
      </w:r>
    </w:p>
    <w:p w:rsidR="00ED2B37" w:rsidRDefault="00F925DE">
      <w:pPr>
        <w:pStyle w:val="ESBodyText"/>
      </w:pPr>
      <w:r>
        <w:t>Possible socio-economic band values are: Low, Low-Medium, Medium and High.</w:t>
      </w:r>
    </w:p>
    <w:p w:rsidR="00ED2B37" w:rsidRDefault="00F925DE">
      <w:pPr>
        <w:pStyle w:val="ESBodyText"/>
      </w:pPr>
      <w:r>
        <w:t>This school’s socio-economic band value is: Medium</w:t>
      </w:r>
    </w:p>
    <w:p w:rsidR="00ED2B37" w:rsidRDefault="00F925DE">
      <w:pPr>
        <w:pStyle w:val="ESBodyText"/>
      </w:pPr>
    </w:p>
    <w:p w:rsidR="00ED2B37" w:rsidRDefault="00F925DE">
      <w:pPr>
        <w:pStyle w:val="ESBodyText"/>
        <w:rPr>
          <w:rFonts w:eastAsiaTheme="majorEastAsia" w:cstheme="majorBidi"/>
          <w:b/>
          <w:bCs/>
          <w:color w:val="00008B"/>
          <w:szCs w:val="20"/>
        </w:rPr>
      </w:pPr>
      <w:r>
        <w:rPr>
          <w:rFonts w:eastAsiaTheme="majorEastAsia" w:cstheme="majorBidi"/>
          <w:b/>
          <w:bCs/>
          <w:color w:val="00008B"/>
          <w:szCs w:val="20"/>
        </w:rPr>
        <w:t>Parent Satisfaction Summary</w:t>
      </w:r>
    </w:p>
    <w:p w:rsidR="00ED2B37" w:rsidRDefault="00F925DE">
      <w:pPr>
        <w:rPr>
          <w:rFonts w:eastAsia="MS Mincho"/>
        </w:rPr>
      </w:pPr>
      <w:r>
        <w:rPr>
          <w:rFonts w:eastAsia="MS Mincho"/>
        </w:rPr>
        <w:t>The percent endorsement by parents on their school satisfac</w:t>
      </w:r>
      <w:r>
        <w:rPr>
          <w:rFonts w:eastAsia="MS Mincho"/>
        </w:rPr>
        <w:t>tion level as reported in the annual Parent Opinion Survey.</w:t>
      </w:r>
    </w:p>
    <w:p w:rsidR="00ED2B37" w:rsidRDefault="00F925DE">
      <w:pPr>
        <w:spacing w:after="240"/>
      </w:pPr>
      <w:r>
        <w:rPr>
          <w:rFonts w:eastAsia="MS Mincho"/>
        </w:rPr>
        <w:t>Percent endorsement indicates the percent of positive responses (agree or strongly agree) from parents who responded to the survey.</w:t>
      </w:r>
    </w:p>
    <w:tbl>
      <w:tblPr>
        <w:tblStyle w:val="GridTable2-Accent61"/>
        <w:tblW w:w="4853" w:type="pct"/>
        <w:jc w:val="center"/>
        <w:tblLook w:val="04A0" w:firstRow="1" w:lastRow="0" w:firstColumn="1" w:lastColumn="0" w:noHBand="0" w:noVBand="1"/>
        <w:tblCaption w:val="Parent Opinion survey results"/>
      </w:tblPr>
      <w:tblGrid>
        <w:gridCol w:w="4107"/>
        <w:gridCol w:w="1586"/>
        <w:gridCol w:w="1586"/>
        <w:gridCol w:w="1586"/>
        <w:gridCol w:w="1584"/>
      </w:tblGrid>
      <w:tr w:rsidR="00873CFB" w:rsidTr="00873CFB">
        <w:trPr>
          <w:cnfStyle w:val="100000000000" w:firstRow="1" w:lastRow="0" w:firstColumn="0" w:lastColumn="0" w:oddVBand="0" w:evenVBand="0" w:oddHBand="0" w:evenHBand="0" w:firstRowFirstColumn="0" w:firstRowLastColumn="0" w:lastRowFirstColumn="0" w:lastRowLastColumn="0"/>
          <w:trHeight w:val="445"/>
          <w:tblHeader/>
          <w:jc w:val="center"/>
        </w:trPr>
        <w:tc>
          <w:tcPr>
            <w:cnfStyle w:val="001000000000" w:firstRow="0" w:lastRow="0" w:firstColumn="1" w:lastColumn="0" w:oddVBand="0" w:evenVBand="0" w:oddHBand="0" w:evenHBand="0" w:firstRowFirstColumn="0" w:firstRowLastColumn="0" w:lastRowFirstColumn="0" w:lastRowLastColumn="0"/>
            <w:tcW w:w="1965" w:type="pct"/>
            <w:tcBorders>
              <w:bottom w:val="single" w:sz="12" w:space="0" w:color="FFFFFF"/>
            </w:tcBorders>
            <w:shd w:val="clear" w:color="auto" w:fill="106CB5"/>
            <w:vAlign w:val="center"/>
            <w:hideMark/>
          </w:tcPr>
          <w:p w:rsidR="00ED2B37" w:rsidRDefault="00F925DE">
            <w:pPr>
              <w:spacing w:before="40" w:after="40" w:line="240" w:lineRule="auto"/>
              <w:rPr>
                <w:rFonts w:cs="Times New Roman"/>
                <w:color w:val="FFFFFF"/>
                <w:szCs w:val="22"/>
              </w:rPr>
            </w:pPr>
            <w:bookmarkStart w:id="1" w:name="Table_1"/>
            <w:r>
              <w:rPr>
                <w:rFonts w:cs="Times New Roman"/>
                <w:color w:val="FFFFFF"/>
                <w:szCs w:val="22"/>
              </w:rPr>
              <w:t>Parent Satisfaction</w:t>
            </w:r>
          </w:p>
        </w:tc>
        <w:tc>
          <w:tcPr>
            <w:tcW w:w="759"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759"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759" w:type="pct"/>
            <w:tcBorders>
              <w:bottom w:val="single" w:sz="12" w:space="0" w:color="FFFFFF"/>
            </w:tcBorders>
            <w:shd w:val="clear" w:color="auto" w:fill="106CB5"/>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759"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r>
      <w:tr w:rsidR="00873CFB" w:rsidTr="00873C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65"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rPr>
                <w:rFonts w:cs="Times New Roman"/>
                <w:szCs w:val="22"/>
              </w:rPr>
            </w:pPr>
          </w:p>
        </w:tc>
        <w:tc>
          <w:tcPr>
            <w:tcW w:w="759"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noWrap/>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873CFB" w:rsidTr="00873C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5" w:type="pct"/>
            <w:tcBorders>
              <w:top w:val="single" w:sz="2" w:space="0" w:color="106CB5"/>
              <w:bottom w:val="single" w:sz="2" w:space="0" w:color="106CB5"/>
            </w:tcBorders>
            <w:shd w:val="clear" w:color="auto" w:fill="D9D9D9"/>
            <w:noWrap/>
            <w:vAlign w:val="center"/>
            <w:hideMark/>
          </w:tcPr>
          <w:p w:rsidR="00ED2B37" w:rsidRDefault="00F925DE">
            <w:pPr>
              <w:spacing w:before="40" w:after="40" w:line="240" w:lineRule="auto"/>
              <w:rPr>
                <w:rFonts w:cs="Times New Roman"/>
                <w:szCs w:val="22"/>
              </w:rPr>
            </w:pPr>
            <w:r>
              <w:rPr>
                <w:rFonts w:cs="Times New Roman"/>
                <w:szCs w:val="22"/>
                <w:lang w:val="en-US"/>
              </w:rPr>
              <w:t>Percent endorsement (latest year)</w:t>
            </w:r>
          </w:p>
        </w:tc>
        <w:tc>
          <w:tcPr>
            <w:tcW w:w="759" w:type="pct"/>
            <w:tcBorders>
              <w:top w:val="single" w:sz="2" w:space="0" w:color="106CB5"/>
              <w:bottom w:val="single" w:sz="2" w:space="0" w:color="106CB5"/>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94.5</w:t>
            </w:r>
          </w:p>
        </w:tc>
        <w:tc>
          <w:tcPr>
            <w:tcW w:w="759" w:type="pct"/>
            <w:tcBorders>
              <w:top w:val="single" w:sz="2" w:space="0" w:color="106CB5"/>
              <w:bottom w:val="single" w:sz="2" w:space="0" w:color="106CB5"/>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85.8</w:t>
            </w:r>
          </w:p>
        </w:tc>
        <w:tc>
          <w:tcPr>
            <w:tcW w:w="759" w:type="pct"/>
            <w:tcBorders>
              <w:top w:val="single" w:sz="2" w:space="0" w:color="106CB5"/>
              <w:bottom w:val="single" w:sz="2" w:space="0" w:color="106CB5"/>
            </w:tcBorders>
            <w:shd w:val="clear" w:color="auto" w:fill="D9D9D9"/>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79.2</w:t>
            </w:r>
          </w:p>
        </w:tc>
        <w:tc>
          <w:tcPr>
            <w:tcW w:w="759" w:type="pct"/>
            <w:tcBorders>
              <w:top w:val="single" w:sz="2" w:space="0" w:color="106CB5"/>
              <w:bottom w:val="single" w:sz="2" w:space="0" w:color="106CB5"/>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92.0</w:t>
            </w:r>
          </w:p>
        </w:tc>
      </w:tr>
      <w:bookmarkEnd w:id="1"/>
    </w:tbl>
    <w:p w:rsidR="00ED2B37" w:rsidRDefault="00F925DE">
      <w:pPr>
        <w:pStyle w:val="ESBodyText"/>
      </w:pPr>
    </w:p>
    <w:p w:rsidR="00ED2B37" w:rsidRDefault="00F925DE">
      <w:pPr>
        <w:pStyle w:val="ESBodyText"/>
      </w:pPr>
    </w:p>
    <w:p w:rsidR="00ED2B37" w:rsidRDefault="00F925DE">
      <w:pPr>
        <w:pStyle w:val="ESBodyText"/>
        <w:rPr>
          <w:rFonts w:eastAsiaTheme="majorEastAsia" w:cstheme="majorBidi"/>
          <w:b/>
          <w:bCs/>
          <w:color w:val="00008B"/>
          <w:szCs w:val="20"/>
        </w:rPr>
      </w:pPr>
      <w:r>
        <w:rPr>
          <w:rFonts w:eastAsiaTheme="majorEastAsia" w:cstheme="majorBidi"/>
          <w:b/>
          <w:bCs/>
          <w:color w:val="00008B"/>
          <w:szCs w:val="20"/>
        </w:rPr>
        <w:t>School Staff Survey</w:t>
      </w:r>
    </w:p>
    <w:p w:rsidR="00ED2B37" w:rsidRDefault="00F925DE">
      <w:pPr>
        <w:pStyle w:val="ESBodyText"/>
      </w:pPr>
      <w:r>
        <w:t>The percent endorsement by staff on School Climate, as reported in the annual School Staff Survey.</w:t>
      </w:r>
    </w:p>
    <w:p w:rsidR="00ED2B37" w:rsidRDefault="00F925DE">
      <w:pPr>
        <w:pStyle w:val="ESBodyText"/>
      </w:pPr>
      <w:r>
        <w:t xml:space="preserve">Percent </w:t>
      </w:r>
      <w:r>
        <w:t>endorsement indicates the percent of positive responses (agree or strongly agree) from staff who responded to the survey.</w:t>
      </w:r>
    </w:p>
    <w:p w:rsidR="00ED2B37" w:rsidRDefault="00F925DE">
      <w:pPr>
        <w:pStyle w:val="ESBodyText"/>
        <w:spacing w:after="240"/>
      </w:pPr>
      <w:r>
        <w:t>Data is suppressed for schools with three or less respondents to the survey for confidentiality reasons.</w:t>
      </w:r>
    </w:p>
    <w:tbl>
      <w:tblPr>
        <w:tblStyle w:val="GridTable2-Accent61"/>
        <w:tblW w:w="4853" w:type="pct"/>
        <w:jc w:val="center"/>
        <w:tblLook w:val="04A0" w:firstRow="1" w:lastRow="0" w:firstColumn="1" w:lastColumn="0" w:noHBand="0" w:noVBand="1"/>
        <w:tblCaption w:val="School staff survey results"/>
      </w:tblPr>
      <w:tblGrid>
        <w:gridCol w:w="3702"/>
        <w:gridCol w:w="1687"/>
        <w:gridCol w:w="1687"/>
        <w:gridCol w:w="1687"/>
        <w:gridCol w:w="1686"/>
      </w:tblGrid>
      <w:tr w:rsidR="00873CFB" w:rsidTr="00873CFB">
        <w:trPr>
          <w:cnfStyle w:val="100000000000" w:firstRow="1" w:lastRow="0" w:firstColumn="0" w:lastColumn="0" w:oddVBand="0" w:evenVBand="0" w:oddHBand="0" w:evenHBand="0" w:firstRowFirstColumn="0" w:firstRowLastColumn="0" w:lastRowFirstColumn="0" w:lastRowLastColumn="0"/>
          <w:trHeight w:val="419"/>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bottom w:val="single" w:sz="12" w:space="0" w:color="FFFFFF"/>
            </w:tcBorders>
            <w:shd w:val="clear" w:color="auto" w:fill="106CB5"/>
            <w:vAlign w:val="center"/>
            <w:hideMark/>
          </w:tcPr>
          <w:p w:rsidR="00ED2B37" w:rsidRDefault="00F925DE">
            <w:pPr>
              <w:spacing w:before="40" w:after="40" w:line="240" w:lineRule="auto"/>
              <w:rPr>
                <w:rFonts w:cs="Times New Roman"/>
                <w:color w:val="FFFFFF"/>
                <w:szCs w:val="22"/>
              </w:rPr>
            </w:pPr>
            <w:r>
              <w:rPr>
                <w:rFonts w:cs="Times New Roman"/>
                <w:color w:val="FFFFFF"/>
                <w:szCs w:val="22"/>
              </w:rPr>
              <w:t>School Climate</w:t>
            </w:r>
          </w:p>
        </w:tc>
        <w:tc>
          <w:tcPr>
            <w:tcW w:w="807"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807"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w:t>
            </w:r>
            <w:r>
              <w:rPr>
                <w:rFonts w:cs="Times New Roman"/>
                <w:color w:val="FFFFFF"/>
                <w:szCs w:val="22"/>
              </w:rPr>
              <w:t>edian</w:t>
            </w:r>
          </w:p>
        </w:tc>
        <w:tc>
          <w:tcPr>
            <w:tcW w:w="807" w:type="pct"/>
            <w:tcBorders>
              <w:bottom w:val="single" w:sz="12" w:space="0" w:color="FFFFFF"/>
            </w:tcBorders>
            <w:shd w:val="clear" w:color="auto" w:fill="106CB5"/>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807"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r>
      <w:tr w:rsidR="00873CFB" w:rsidTr="00873C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rPr>
                <w:rFonts w:cs="Times New Roman"/>
                <w:szCs w:val="22"/>
              </w:rPr>
            </w:pPr>
          </w:p>
        </w:tc>
        <w:tc>
          <w:tcPr>
            <w:tcW w:w="807"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873CFB" w:rsidTr="00873C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1" w:type="pct"/>
            <w:tcBorders>
              <w:top w:val="single" w:sz="2" w:space="0" w:color="106CB5"/>
              <w:bottom w:val="single" w:sz="2" w:space="0" w:color="106CB5"/>
            </w:tcBorders>
            <w:shd w:val="clear" w:color="auto" w:fill="D9D9D9"/>
            <w:noWrap/>
            <w:vAlign w:val="center"/>
            <w:hideMark/>
          </w:tcPr>
          <w:p w:rsidR="00ED2B37" w:rsidRDefault="00F925DE">
            <w:pPr>
              <w:spacing w:before="40" w:after="40" w:line="240" w:lineRule="auto"/>
              <w:rPr>
                <w:rFonts w:cs="Times New Roman"/>
                <w:szCs w:val="22"/>
              </w:rPr>
            </w:pPr>
            <w:r>
              <w:rPr>
                <w:rFonts w:cs="Times New Roman"/>
                <w:szCs w:val="22"/>
              </w:rPr>
              <w:t>Percent endorsement (latest year)</w:t>
            </w:r>
          </w:p>
        </w:tc>
        <w:tc>
          <w:tcPr>
            <w:tcW w:w="807" w:type="pct"/>
            <w:tcBorders>
              <w:top w:val="single" w:sz="2" w:space="0" w:color="106CB5"/>
              <w:bottom w:val="single" w:sz="2" w:space="0" w:color="106CB5"/>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93.4</w:t>
            </w:r>
          </w:p>
        </w:tc>
        <w:tc>
          <w:tcPr>
            <w:tcW w:w="807" w:type="pct"/>
            <w:tcBorders>
              <w:top w:val="single" w:sz="2" w:space="0" w:color="106CB5"/>
              <w:bottom w:val="single" w:sz="2" w:space="0" w:color="106CB5"/>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79.5</w:t>
            </w:r>
          </w:p>
        </w:tc>
        <w:tc>
          <w:tcPr>
            <w:tcW w:w="807" w:type="pct"/>
            <w:tcBorders>
              <w:top w:val="single" w:sz="2" w:space="0" w:color="106CB5"/>
              <w:bottom w:val="single" w:sz="2" w:space="0" w:color="106CB5"/>
            </w:tcBorders>
            <w:shd w:val="clear" w:color="auto" w:fill="D9D9D9"/>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68.5</w:t>
            </w:r>
          </w:p>
        </w:tc>
        <w:tc>
          <w:tcPr>
            <w:tcW w:w="807" w:type="pct"/>
            <w:tcBorders>
              <w:top w:val="single" w:sz="2" w:space="0" w:color="106CB5"/>
              <w:bottom w:val="single" w:sz="2" w:space="0" w:color="106CB5"/>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87.9</w:t>
            </w:r>
          </w:p>
        </w:tc>
      </w:tr>
    </w:tbl>
    <w:p w:rsidR="00ED2B37" w:rsidRDefault="00F925DE">
      <w:pPr>
        <w:spacing w:after="0" w:line="240" w:lineRule="auto"/>
        <w:rPr>
          <w:rFonts w:eastAsiaTheme="majorEastAsia" w:cstheme="majorBidi"/>
          <w:b/>
          <w:bCs/>
          <w:caps/>
          <w:color w:val="AF272F"/>
          <w:sz w:val="20"/>
          <w:szCs w:val="20"/>
        </w:rPr>
      </w:pPr>
      <w:r>
        <w:br w:type="page"/>
      </w:r>
    </w:p>
    <w:p w:rsidR="00ED2B37" w:rsidRDefault="00F925DE">
      <w:pPr>
        <w:pStyle w:val="ESBodyText"/>
        <w:ind w:left="567" w:hanging="567"/>
        <w:rPr>
          <w:b/>
          <w:i/>
        </w:rPr>
      </w:pPr>
      <w:r>
        <w:rPr>
          <w:b/>
          <w:i/>
        </w:rPr>
        <w:t>Key:</w:t>
      </w:r>
      <w:r>
        <w:rPr>
          <w:b/>
          <w:i/>
        </w:rPr>
        <w:tab/>
        <w:t>“Middle 60 percent low” to “middle 60 percent high” is the range of results for the middle 60 percent of</w:t>
      </w:r>
      <w:r>
        <w:rPr>
          <w:b/>
          <w:i/>
        </w:rPr>
        <w:t xml:space="preserve"> Victorian Government primary year levels.</w:t>
      </w:r>
    </w:p>
    <w:p w:rsidR="00ED2B37" w:rsidRDefault="00F925DE">
      <w:pPr>
        <w:pStyle w:val="ESBodyText"/>
        <w:ind w:left="567"/>
        <w:rPr>
          <w:b/>
          <w:i/>
        </w:rPr>
      </w:pPr>
      <w:r>
        <w:rPr>
          <w:b/>
          <w:i/>
        </w:rPr>
        <w:t>“Similar School Comparison” is a way of comparing school performance to similar schools in Victoria that takes into account the school’s socioeconomic background of students, the number of non-English speaking stu</w:t>
      </w:r>
      <w:r>
        <w:rPr>
          <w:b/>
          <w:i/>
        </w:rPr>
        <w:t xml:space="preserve">dents and the size and location of the school. . Possible Similar School Comparison values are ‘Similar’, ‘Above’ or ‘Below’ relative to the similar schools group with similar characteristics. </w:t>
      </w:r>
    </w:p>
    <w:p w:rsidR="00ED2B37" w:rsidRDefault="00F925DE">
      <w:pPr>
        <w:pStyle w:val="ESHeading2"/>
        <w:rPr>
          <w:color w:val="00008B"/>
          <w:u w:val="single"/>
        </w:rPr>
      </w:pPr>
      <w:r>
        <w:rPr>
          <w:color w:val="00008B"/>
          <w:u w:val="single"/>
        </w:rPr>
        <w:t>Achievement</w:t>
      </w:r>
    </w:p>
    <w:p w:rsidR="00ED2B37" w:rsidRDefault="00F925DE">
      <w:pPr>
        <w:pStyle w:val="ESBodyText"/>
        <w:rPr>
          <w:rFonts w:eastAsiaTheme="majorEastAsia" w:cstheme="majorBidi"/>
          <w:b/>
          <w:bCs/>
          <w:color w:val="00008B"/>
          <w:szCs w:val="20"/>
        </w:rPr>
      </w:pPr>
      <w:r>
        <w:rPr>
          <w:rFonts w:eastAsiaTheme="majorEastAsia" w:cstheme="majorBidi"/>
          <w:b/>
          <w:bCs/>
          <w:color w:val="00008B"/>
          <w:szCs w:val="20"/>
        </w:rPr>
        <w:t>Teacher Judgement of student achievement</w:t>
      </w:r>
    </w:p>
    <w:p w:rsidR="00ED2B37" w:rsidRDefault="00F925DE">
      <w:pPr>
        <w:pStyle w:val="ESBodyText"/>
      </w:pPr>
      <w:r>
        <w:t>Percentag</w:t>
      </w:r>
      <w:r>
        <w:t>e of students in year levels Prep to 6 working at or above age expected standards in:</w:t>
      </w:r>
    </w:p>
    <w:p w:rsidR="00ED2B37" w:rsidRDefault="00F925DE">
      <w:pPr>
        <w:pStyle w:val="ESBodyText"/>
        <w:numPr>
          <w:ilvl w:val="0"/>
          <w:numId w:val="27"/>
        </w:numPr>
      </w:pPr>
      <w:r>
        <w:t>English</w:t>
      </w:r>
    </w:p>
    <w:p w:rsidR="00ED2B37" w:rsidRDefault="00F925DE">
      <w:pPr>
        <w:pStyle w:val="ESBodyText"/>
        <w:numPr>
          <w:ilvl w:val="0"/>
          <w:numId w:val="27"/>
        </w:numPr>
      </w:pPr>
      <w:r>
        <w:t>Mathematics</w:t>
      </w:r>
    </w:p>
    <w:p w:rsidR="00ED2B37" w:rsidRDefault="00F925DE">
      <w:pPr>
        <w:pStyle w:val="ESBodyText"/>
      </w:pPr>
    </w:p>
    <w:tbl>
      <w:tblPr>
        <w:tblStyle w:val="GridTable2-Accent61"/>
        <w:tblW w:w="4850" w:type="pct"/>
        <w:jc w:val="center"/>
        <w:tblLook w:val="04A0" w:firstRow="1" w:lastRow="0" w:firstColumn="1" w:lastColumn="0" w:noHBand="0" w:noVBand="1"/>
        <w:tblCaption w:val="Teacher judgement of student achievement"/>
      </w:tblPr>
      <w:tblGrid>
        <w:gridCol w:w="4154"/>
        <w:gridCol w:w="1255"/>
        <w:gridCol w:w="1255"/>
        <w:gridCol w:w="1256"/>
        <w:gridCol w:w="1256"/>
        <w:gridCol w:w="1267"/>
      </w:tblGrid>
      <w:tr w:rsidR="00873CFB" w:rsidTr="00873CFB">
        <w:trPr>
          <w:cnfStyle w:val="100000000000" w:firstRow="1" w:lastRow="0" w:firstColumn="0" w:lastColumn="0" w:oddVBand="0" w:evenVBand="0" w:oddHBand="0" w:evenHBand="0" w:firstRowFirstColumn="0" w:firstRowLastColumn="0" w:lastRowFirstColumn="0" w:lastRowLastColumn="0"/>
          <w:trHeight w:val="619"/>
          <w:tblHeader/>
          <w:jc w:val="center"/>
        </w:trPr>
        <w:tc>
          <w:tcPr>
            <w:cnfStyle w:val="001000000000" w:firstRow="0" w:lastRow="0" w:firstColumn="1" w:lastColumn="0" w:oddVBand="0" w:evenVBand="0" w:oddHBand="0" w:evenHBand="0" w:firstRowFirstColumn="0" w:firstRowLastColumn="0" w:lastRowFirstColumn="0" w:lastRowLastColumn="0"/>
            <w:tcW w:w="1990" w:type="pct"/>
            <w:tcBorders>
              <w:bottom w:val="single" w:sz="12" w:space="0" w:color="FFFFFF"/>
            </w:tcBorders>
            <w:shd w:val="clear" w:color="auto" w:fill="106CB5"/>
            <w:vAlign w:val="center"/>
            <w:hideMark/>
          </w:tcPr>
          <w:p w:rsidR="00ED2B37" w:rsidRDefault="00F925DE">
            <w:pPr>
              <w:spacing w:before="40" w:after="40" w:line="240" w:lineRule="auto"/>
              <w:rPr>
                <w:rFonts w:cs="Times New Roman"/>
                <w:color w:val="FFFFFF"/>
                <w:szCs w:val="22"/>
              </w:rPr>
            </w:pPr>
            <w:r>
              <w:rPr>
                <w:rFonts w:cs="Times New Roman"/>
                <w:color w:val="FFFFFF"/>
                <w:szCs w:val="22"/>
              </w:rPr>
              <w:t>Teacher Judgments at or above age expected standards (latest year)</w:t>
            </w:r>
          </w:p>
        </w:tc>
        <w:tc>
          <w:tcPr>
            <w:tcW w:w="602"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02"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02" w:type="pct"/>
            <w:tcBorders>
              <w:bottom w:val="single" w:sz="12" w:space="0" w:color="FFFFFF"/>
            </w:tcBorders>
            <w:shd w:val="clear" w:color="auto" w:fill="106CB5"/>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602"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02" w:type="pct"/>
            <w:tcBorders>
              <w:bottom w:val="single" w:sz="12" w:space="0" w:color="FFFFFF"/>
            </w:tcBorders>
            <w:shd w:val="clear" w:color="auto" w:fill="106CB5"/>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 xml:space="preserve">Similar School </w:t>
            </w:r>
            <w:r>
              <w:rPr>
                <w:rFonts w:cs="Times New Roman"/>
                <w:bCs w:val="0"/>
                <w:color w:val="FFFFFF"/>
                <w:szCs w:val="22"/>
              </w:rPr>
              <w:t>Comparison</w:t>
            </w:r>
          </w:p>
        </w:tc>
      </w:tr>
      <w:tr w:rsidR="00873CFB" w:rsidTr="00873C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rPr>
                <w:rFonts w:cs="Times New Roman"/>
                <w:szCs w:val="22"/>
              </w:rPr>
            </w:pPr>
            <w:r>
              <w:rPr>
                <w:rFonts w:cs="Times New Roman"/>
                <w:szCs w:val="22"/>
              </w:rPr>
              <w:t>Domain</w:t>
            </w:r>
          </w:p>
        </w:tc>
        <w:tc>
          <w:tcPr>
            <w:tcW w:w="602"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873CFB" w:rsidTr="00873C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2" w:space="0" w:color="106CB5"/>
              <w:bottom w:val="single" w:sz="2" w:space="0" w:color="106CB5"/>
            </w:tcBorders>
            <w:shd w:val="clear" w:color="auto" w:fill="D9D9D9"/>
            <w:noWrap/>
            <w:vAlign w:val="center"/>
          </w:tcPr>
          <w:p w:rsidR="00ED2B37" w:rsidRDefault="00F925DE">
            <w:pPr>
              <w:spacing w:before="40" w:after="40" w:line="240" w:lineRule="auto"/>
              <w:rPr>
                <w:rFonts w:cs="Times New Roman"/>
                <w:szCs w:val="22"/>
              </w:rPr>
            </w:pPr>
            <w:r>
              <w:rPr>
                <w:rFonts w:cs="Times New Roman"/>
                <w:b w:val="0"/>
                <w:szCs w:val="22"/>
              </w:rPr>
              <w:t>English</w:t>
            </w:r>
          </w:p>
        </w:tc>
        <w:tc>
          <w:tcPr>
            <w:tcW w:w="602" w:type="pct"/>
            <w:tcBorders>
              <w:top w:val="single" w:sz="2" w:space="0" w:color="106CB5"/>
              <w:bottom w:val="single" w:sz="2" w:space="0" w:color="106CB5"/>
            </w:tcBorders>
            <w:shd w:val="clear" w:color="auto" w:fill="D9D9D9"/>
            <w:noWrap/>
            <w:vAlign w:val="bottom"/>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95.7</w:t>
            </w:r>
          </w:p>
        </w:tc>
        <w:tc>
          <w:tcPr>
            <w:tcW w:w="602" w:type="pct"/>
            <w:tcBorders>
              <w:top w:val="single" w:sz="2" w:space="0" w:color="106CB5"/>
              <w:bottom w:val="single" w:sz="2" w:space="0" w:color="106CB5"/>
            </w:tcBorders>
            <w:shd w:val="clear" w:color="auto" w:fill="D9D9D9"/>
            <w:noWrap/>
            <w:vAlign w:val="bottom"/>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89.7</w:t>
            </w:r>
          </w:p>
        </w:tc>
        <w:tc>
          <w:tcPr>
            <w:tcW w:w="602" w:type="pct"/>
            <w:tcBorders>
              <w:top w:val="single" w:sz="2" w:space="0" w:color="106CB5"/>
              <w:bottom w:val="single" w:sz="2" w:space="0" w:color="106CB5"/>
            </w:tcBorders>
            <w:shd w:val="clear" w:color="auto" w:fill="D9D9D9"/>
            <w:vAlign w:val="bottom"/>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81.7</w:t>
            </w:r>
          </w:p>
        </w:tc>
        <w:tc>
          <w:tcPr>
            <w:tcW w:w="602" w:type="pct"/>
            <w:tcBorders>
              <w:top w:val="single" w:sz="2" w:space="0" w:color="106CB5"/>
              <w:bottom w:val="single" w:sz="2" w:space="0" w:color="106CB5"/>
            </w:tcBorders>
            <w:shd w:val="clear" w:color="auto" w:fill="D9D9D9"/>
            <w:noWrap/>
            <w:vAlign w:val="bottom"/>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95.0</w:t>
            </w:r>
          </w:p>
        </w:tc>
        <w:tc>
          <w:tcPr>
            <w:tcW w:w="602" w:type="pct"/>
            <w:tcBorders>
              <w:top w:val="single" w:sz="2" w:space="0" w:color="106CB5"/>
              <w:bottom w:val="single" w:sz="2" w:space="0" w:color="106CB5"/>
            </w:tcBorders>
            <w:shd w:val="clear" w:color="auto" w:fill="D9D9D9"/>
            <w:vAlign w:val="bottom"/>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Above</w:t>
            </w:r>
          </w:p>
        </w:tc>
      </w:tr>
      <w:tr w:rsidR="00873CFB" w:rsidTr="00873CFB">
        <w:trPr>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2" w:space="0" w:color="106CB5"/>
              <w:bottom w:val="single" w:sz="2" w:space="0" w:color="106CB5"/>
            </w:tcBorders>
            <w:shd w:val="clear" w:color="auto" w:fill="auto"/>
            <w:noWrap/>
            <w:vAlign w:val="center"/>
            <w:hideMark/>
          </w:tcPr>
          <w:p w:rsidR="00ED2B37" w:rsidRDefault="00F925DE">
            <w:pPr>
              <w:spacing w:before="40" w:after="40" w:line="240" w:lineRule="auto"/>
              <w:rPr>
                <w:rFonts w:cs="Times New Roman"/>
                <w:szCs w:val="22"/>
              </w:rPr>
            </w:pPr>
            <w:r>
              <w:rPr>
                <w:rFonts w:cs="Times New Roman"/>
                <w:b w:val="0"/>
                <w:szCs w:val="22"/>
              </w:rPr>
              <w:t>Mathematics</w:t>
            </w:r>
          </w:p>
        </w:tc>
        <w:tc>
          <w:tcPr>
            <w:tcW w:w="602" w:type="pct"/>
            <w:tcBorders>
              <w:top w:val="single" w:sz="2" w:space="0" w:color="106CB5"/>
              <w:bottom w:val="single" w:sz="2" w:space="0" w:color="106CB5"/>
            </w:tcBorders>
            <w:shd w:val="clear" w:color="auto" w:fill="auto"/>
            <w:noWrap/>
            <w:vAlign w:val="bottom"/>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93.5</w:t>
            </w:r>
          </w:p>
        </w:tc>
        <w:tc>
          <w:tcPr>
            <w:tcW w:w="602" w:type="pct"/>
            <w:tcBorders>
              <w:top w:val="single" w:sz="2" w:space="0" w:color="106CB5"/>
              <w:bottom w:val="single" w:sz="2" w:space="0" w:color="106CB5"/>
            </w:tcBorders>
            <w:shd w:val="clear" w:color="auto" w:fill="auto"/>
            <w:noWrap/>
            <w:vAlign w:val="bottom"/>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90.3</w:t>
            </w:r>
          </w:p>
        </w:tc>
        <w:tc>
          <w:tcPr>
            <w:tcW w:w="602" w:type="pct"/>
            <w:tcBorders>
              <w:top w:val="single" w:sz="2" w:space="0" w:color="106CB5"/>
              <w:bottom w:val="single" w:sz="2" w:space="0" w:color="106CB5"/>
            </w:tcBorders>
            <w:shd w:val="clear" w:color="auto" w:fill="auto"/>
            <w:vAlign w:val="bottom"/>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81.8</w:t>
            </w:r>
          </w:p>
        </w:tc>
        <w:tc>
          <w:tcPr>
            <w:tcW w:w="602" w:type="pct"/>
            <w:tcBorders>
              <w:top w:val="single" w:sz="2" w:space="0" w:color="106CB5"/>
              <w:bottom w:val="single" w:sz="2" w:space="0" w:color="106CB5"/>
            </w:tcBorders>
            <w:shd w:val="clear" w:color="auto" w:fill="auto"/>
            <w:noWrap/>
            <w:vAlign w:val="bottom"/>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95.8</w:t>
            </w:r>
          </w:p>
        </w:tc>
        <w:tc>
          <w:tcPr>
            <w:tcW w:w="602" w:type="pct"/>
            <w:tcBorders>
              <w:top w:val="single" w:sz="2" w:space="0" w:color="106CB5"/>
              <w:bottom w:val="single" w:sz="2" w:space="0" w:color="106CB5"/>
            </w:tcBorders>
            <w:vAlign w:val="bottom"/>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Above</w:t>
            </w:r>
          </w:p>
        </w:tc>
      </w:tr>
    </w:tbl>
    <w:p w:rsidR="00ED2B37" w:rsidRDefault="00F925DE">
      <w:pPr>
        <w:pStyle w:val="ESBodyText"/>
      </w:pPr>
    </w:p>
    <w:p w:rsidR="00ED2B37" w:rsidRDefault="00F925DE">
      <w:pPr>
        <w:pStyle w:val="ESBodyText"/>
        <w:rPr>
          <w:rFonts w:eastAsiaTheme="majorEastAsia" w:cstheme="majorBidi"/>
          <w:b/>
          <w:bCs/>
          <w:color w:val="00008B"/>
          <w:szCs w:val="20"/>
        </w:rPr>
      </w:pPr>
      <w:r>
        <w:rPr>
          <w:rFonts w:eastAsiaTheme="majorEastAsia" w:cstheme="majorBidi"/>
          <w:b/>
          <w:bCs/>
          <w:color w:val="00008B"/>
          <w:szCs w:val="20"/>
        </w:rPr>
        <w:t>NAPLAN Year 3 and Year 5</w:t>
      </w:r>
    </w:p>
    <w:p w:rsidR="00ED2B37" w:rsidRDefault="00F925DE">
      <w:pPr>
        <w:pStyle w:val="ESBodyText"/>
      </w:pPr>
      <w:r>
        <w:t>The percentage of students in the top three bands of testing in NAPLAN at year levels 3 and 5.</w:t>
      </w:r>
    </w:p>
    <w:p w:rsidR="00ED2B37" w:rsidRDefault="00F925DE">
      <w:pPr>
        <w:pStyle w:val="ESBodyText"/>
      </w:pPr>
      <w:r>
        <w:t xml:space="preserve">Year 3 </w:t>
      </w:r>
      <w:r>
        <w:t>assessments are reported on a scale from Bands 1 to 6.</w:t>
      </w:r>
    </w:p>
    <w:p w:rsidR="00ED2B37" w:rsidRDefault="00F925DE">
      <w:pPr>
        <w:pStyle w:val="ESBodyText"/>
      </w:pPr>
      <w:r>
        <w:rPr>
          <w:rFonts w:eastAsia="Arial"/>
          <w:color w:val="000000"/>
        </w:rPr>
        <w:t>Year 5 assessments are reported on a scale from Bands 3 to 8.</w:t>
      </w:r>
    </w:p>
    <w:tbl>
      <w:tblPr>
        <w:tblStyle w:val="GridTable2-Accent611"/>
        <w:tblW w:w="10628" w:type="dxa"/>
        <w:jc w:val="center"/>
        <w:tblLayout w:type="fixed"/>
        <w:tblLook w:val="04A0" w:firstRow="1" w:lastRow="0" w:firstColumn="1" w:lastColumn="0" w:noHBand="0" w:noVBand="1"/>
        <w:tblCaption w:val="NAPLAN results - Year 3, Year 5, Year 7 and Year 9"/>
      </w:tblPr>
      <w:tblGrid>
        <w:gridCol w:w="2058"/>
        <w:gridCol w:w="2551"/>
        <w:gridCol w:w="1169"/>
        <w:gridCol w:w="1170"/>
        <w:gridCol w:w="1169"/>
        <w:gridCol w:w="1170"/>
        <w:gridCol w:w="1341"/>
      </w:tblGrid>
      <w:tr w:rsidR="00873CFB" w:rsidTr="00873CFB">
        <w:trPr>
          <w:cnfStyle w:val="100000000000" w:firstRow="1" w:lastRow="0" w:firstColumn="0" w:lastColumn="0" w:oddVBand="0" w:evenVBand="0" w:oddHBand="0" w:evenHBand="0" w:firstRowFirstColumn="0" w:firstRowLastColumn="0" w:lastRowFirstColumn="0" w:lastRowLastColumn="0"/>
          <w:trHeight w:val="611"/>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bottom w:val="single" w:sz="12" w:space="0" w:color="FFFFFF"/>
            </w:tcBorders>
            <w:shd w:val="clear" w:color="auto" w:fill="106CB5"/>
            <w:vAlign w:val="center"/>
          </w:tcPr>
          <w:p w:rsidR="00ED2B37" w:rsidRDefault="00F925DE">
            <w:pPr>
              <w:spacing w:before="40" w:after="40" w:line="240" w:lineRule="auto"/>
              <w:rPr>
                <w:rFonts w:cs="Times New Roman"/>
                <w:color w:val="FFFFFF"/>
                <w:szCs w:val="22"/>
              </w:rPr>
            </w:pPr>
            <w:r>
              <w:rPr>
                <w:rFonts w:cs="Times New Roman"/>
                <w:bCs w:val="0"/>
                <w:color w:val="FFFFFF"/>
                <w:szCs w:val="22"/>
              </w:rPr>
              <w:t>NAPLAN top 3 bands</w:t>
            </w:r>
          </w:p>
          <w:p w:rsidR="00ED2B37" w:rsidRDefault="00F925DE">
            <w:pPr>
              <w:spacing w:before="40" w:after="40" w:line="240" w:lineRule="auto"/>
              <w:rPr>
                <w:rFonts w:cs="Times New Roman"/>
                <w:color w:val="FFFFFF"/>
                <w:szCs w:val="22"/>
              </w:rPr>
            </w:pPr>
            <w:r>
              <w:rPr>
                <w:rFonts w:cs="Times New Roman"/>
                <w:bCs w:val="0"/>
                <w:color w:val="FFFFFF"/>
                <w:szCs w:val="22"/>
              </w:rPr>
              <w:t>(latest year)</w:t>
            </w:r>
          </w:p>
        </w:tc>
        <w:tc>
          <w:tcPr>
            <w:tcW w:w="2551" w:type="dxa"/>
            <w:tcBorders>
              <w:bottom w:val="single" w:sz="12" w:space="0" w:color="FFFFFF"/>
            </w:tcBorders>
            <w:shd w:val="clear" w:color="auto" w:fill="106CB5"/>
            <w:noWrap/>
            <w:vAlign w:val="center"/>
            <w:hideMark/>
          </w:tcPr>
          <w:p w:rsidR="00ED2B37" w:rsidRDefault="00F925DE">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bookmarkStart w:id="2" w:name="Table_5"/>
          </w:p>
        </w:tc>
        <w:tc>
          <w:tcPr>
            <w:tcW w:w="1169" w:type="dxa"/>
            <w:tcBorders>
              <w:bottom w:val="single" w:sz="12" w:space="0" w:color="FFFFFF"/>
            </w:tcBorders>
            <w:shd w:val="clear" w:color="auto" w:fill="106CB5"/>
            <w:noWrap/>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170" w:type="dxa"/>
            <w:tcBorders>
              <w:bottom w:val="single" w:sz="12" w:space="0" w:color="FFFFFF"/>
            </w:tcBorders>
            <w:shd w:val="clear" w:color="auto" w:fill="106CB5"/>
            <w:noWrap/>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1169" w:type="dxa"/>
            <w:tcBorders>
              <w:bottom w:val="single" w:sz="12" w:space="0" w:color="FFFFFF"/>
            </w:tcBorders>
            <w:shd w:val="clear" w:color="auto" w:fill="106CB5"/>
            <w:noWrap/>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1170" w:type="dxa"/>
            <w:tcBorders>
              <w:bottom w:val="single" w:sz="12" w:space="0" w:color="FFFFFF"/>
            </w:tcBorders>
            <w:shd w:val="clear" w:color="auto" w:fill="106CB5"/>
            <w:noWrap/>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1341" w:type="dxa"/>
            <w:tcBorders>
              <w:bottom w:val="single" w:sz="12" w:space="0" w:color="FFFFFF"/>
            </w:tcBorders>
            <w:shd w:val="clear" w:color="auto" w:fill="106CB5"/>
            <w:noWrap/>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Similar School Comparison</w:t>
            </w:r>
          </w:p>
        </w:tc>
      </w:tr>
      <w:tr w:rsidR="00873CFB" w:rsidTr="00873C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12" w:space="0" w:color="FFFFFF"/>
              <w:bottom w:val="single" w:sz="4" w:space="0" w:color="106CB5"/>
            </w:tcBorders>
            <w:shd w:val="clear" w:color="auto" w:fill="FFFFFF"/>
          </w:tcPr>
          <w:p w:rsidR="00ED2B37" w:rsidRDefault="00F925DE">
            <w:pPr>
              <w:spacing w:before="40" w:after="40" w:line="240" w:lineRule="auto"/>
              <w:rPr>
                <w:rFonts w:cs="Times New Roman"/>
                <w:szCs w:val="22"/>
              </w:rPr>
            </w:pPr>
            <w:r>
              <w:rPr>
                <w:rFonts w:cs="Times New Roman"/>
                <w:szCs w:val="22"/>
              </w:rPr>
              <w:t>Year Level</w:t>
            </w:r>
          </w:p>
        </w:tc>
        <w:tc>
          <w:tcPr>
            <w:tcW w:w="2551" w:type="dxa"/>
            <w:tcBorders>
              <w:top w:val="single" w:sz="12" w:space="0" w:color="FFFFFF"/>
              <w:bottom w:val="single" w:sz="4" w:space="0" w:color="106CB5"/>
            </w:tcBorders>
            <w:shd w:val="clear" w:color="auto" w:fill="FFFFFF"/>
            <w:noWrap/>
            <w:vAlign w:val="center"/>
          </w:tcPr>
          <w:p w:rsidR="00ED2B37" w:rsidRDefault="00F925DE">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169" w:type="dxa"/>
            <w:tcBorders>
              <w:top w:val="single" w:sz="12" w:space="0" w:color="FFFFFF"/>
              <w:bottom w:val="single" w:sz="4"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69" w:type="dxa"/>
            <w:tcBorders>
              <w:top w:val="single" w:sz="12" w:space="0" w:color="FFFFFF"/>
              <w:bottom w:val="single" w:sz="4"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341" w:type="dxa"/>
            <w:tcBorders>
              <w:top w:val="single" w:sz="12" w:space="0" w:color="FFFFFF"/>
              <w:bottom w:val="single" w:sz="4"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873CFB" w:rsidTr="00873C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106CB5"/>
              <w:bottom w:val="nil"/>
              <w:right w:val="single" w:sz="4" w:space="0" w:color="FFFFFF" w:themeColor="background1"/>
            </w:tcBorders>
            <w:shd w:val="clear" w:color="auto" w:fill="D9D9D9"/>
          </w:tcPr>
          <w:p w:rsidR="00ED2B37" w:rsidRDefault="00F925DE">
            <w:pPr>
              <w:spacing w:before="40" w:after="40" w:line="240" w:lineRule="auto"/>
              <w:rPr>
                <w:rFonts w:cs="Times New Roman"/>
                <w:szCs w:val="22"/>
              </w:rPr>
            </w:pPr>
            <w:r>
              <w:rPr>
                <w:rFonts w:cs="Times New Roman"/>
                <w:b w:val="0"/>
                <w:szCs w:val="22"/>
              </w:rPr>
              <w:t>Year 3</w:t>
            </w:r>
          </w:p>
        </w:tc>
        <w:tc>
          <w:tcPr>
            <w:tcW w:w="2551"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F925DE">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(latest year)</w:t>
            </w:r>
          </w:p>
        </w:tc>
        <w:tc>
          <w:tcPr>
            <w:tcW w:w="1169"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np</w:t>
            </w:r>
          </w:p>
        </w:tc>
        <w:tc>
          <w:tcPr>
            <w:tcW w:w="1170"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76.5</w:t>
            </w:r>
          </w:p>
        </w:tc>
        <w:tc>
          <w:tcPr>
            <w:tcW w:w="1169"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60.0</w:t>
            </w:r>
          </w:p>
        </w:tc>
        <w:tc>
          <w:tcPr>
            <w:tcW w:w="1170"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90.0</w:t>
            </w:r>
          </w:p>
        </w:tc>
        <w:tc>
          <w:tcPr>
            <w:tcW w:w="1341" w:type="dxa"/>
            <w:tcBorders>
              <w:top w:val="single" w:sz="4" w:space="0" w:color="106CB5"/>
              <w:left w:val="single" w:sz="4" w:space="0" w:color="FFFFFF" w:themeColor="background1"/>
              <w:bottom w:val="nil"/>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np</w:t>
            </w:r>
          </w:p>
        </w:tc>
      </w:tr>
      <w:tr w:rsidR="00873CFB" w:rsidTr="00873CFB">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2" w:space="0" w:color="106CB5"/>
              <w:right w:val="single" w:sz="2" w:space="0" w:color="FFFFFF"/>
            </w:tcBorders>
            <w:shd w:val="clear" w:color="auto" w:fill="auto"/>
          </w:tcPr>
          <w:p w:rsidR="00ED2B37" w:rsidRDefault="00F925DE">
            <w:pPr>
              <w:spacing w:before="40" w:after="40" w:line="240" w:lineRule="auto"/>
              <w:rPr>
                <w:rFonts w:cs="Times New Roman"/>
                <w:szCs w:val="22"/>
              </w:rPr>
            </w:pPr>
            <w:r>
              <w:rPr>
                <w:rFonts w:cs="Times New Roman"/>
                <w:b w:val="0"/>
                <w:szCs w:val="22"/>
              </w:rPr>
              <w:t>Year 3</w:t>
            </w:r>
          </w:p>
        </w:tc>
        <w:tc>
          <w:tcPr>
            <w:tcW w:w="2551" w:type="dxa"/>
            <w:tcBorders>
              <w:top w:val="nil"/>
              <w:left w:val="single" w:sz="2" w:space="0" w:color="FFFFFF"/>
              <w:bottom w:val="single" w:sz="2" w:space="0" w:color="106CB5"/>
              <w:right w:val="single" w:sz="2" w:space="0" w:color="FFFFFF"/>
            </w:tcBorders>
            <w:shd w:val="clear" w:color="auto" w:fill="auto"/>
            <w:noWrap/>
            <w:vAlign w:val="center"/>
          </w:tcPr>
          <w:p w:rsidR="00ED2B37" w:rsidRDefault="00F925DE">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(latest year)</w:t>
            </w:r>
          </w:p>
        </w:tc>
        <w:tc>
          <w:tcPr>
            <w:tcW w:w="1169" w:type="dxa"/>
            <w:tcBorders>
              <w:top w:val="nil"/>
              <w:left w:val="single" w:sz="2" w:space="0" w:color="FFFFFF"/>
              <w:bottom w:val="single" w:sz="2" w:space="0" w:color="106CB5"/>
              <w:right w:val="single" w:sz="2" w:space="0" w:color="FFFFFF"/>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np</w:t>
            </w:r>
          </w:p>
        </w:tc>
        <w:tc>
          <w:tcPr>
            <w:tcW w:w="1170" w:type="dxa"/>
            <w:tcBorders>
              <w:top w:val="nil"/>
              <w:left w:val="single" w:sz="2" w:space="0" w:color="FFFFFF"/>
              <w:bottom w:val="single" w:sz="2" w:space="0" w:color="106CB5"/>
              <w:right w:val="single" w:sz="2" w:space="0" w:color="FFFFFF"/>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67.7</w:t>
            </w:r>
          </w:p>
        </w:tc>
        <w:tc>
          <w:tcPr>
            <w:tcW w:w="1169" w:type="dxa"/>
            <w:tcBorders>
              <w:top w:val="nil"/>
              <w:left w:val="single" w:sz="2" w:space="0" w:color="FFFFFF"/>
              <w:bottom w:val="single" w:sz="2" w:space="0" w:color="106CB5"/>
              <w:right w:val="single" w:sz="2" w:space="0" w:color="FFFFFF"/>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50.0</w:t>
            </w:r>
          </w:p>
        </w:tc>
        <w:tc>
          <w:tcPr>
            <w:tcW w:w="1170" w:type="dxa"/>
            <w:tcBorders>
              <w:top w:val="nil"/>
              <w:left w:val="single" w:sz="2" w:space="0" w:color="FFFFFF"/>
              <w:bottom w:val="single" w:sz="2" w:space="0" w:color="106CB5"/>
              <w:right w:val="single" w:sz="2" w:space="0" w:color="FFFFFF"/>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84.6</w:t>
            </w:r>
          </w:p>
        </w:tc>
        <w:tc>
          <w:tcPr>
            <w:tcW w:w="1341" w:type="dxa"/>
            <w:tcBorders>
              <w:top w:val="nil"/>
              <w:left w:val="single" w:sz="2" w:space="0" w:color="FFFFFF"/>
              <w:bottom w:val="single" w:sz="2" w:space="0" w:color="106CB5"/>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np</w:t>
            </w:r>
          </w:p>
        </w:tc>
      </w:tr>
      <w:tr w:rsidR="00873CFB" w:rsidTr="00873C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2" w:space="0" w:color="106CB5"/>
              <w:bottom w:val="nil"/>
              <w:right w:val="single" w:sz="4" w:space="0" w:color="FFFFFF" w:themeColor="background1"/>
            </w:tcBorders>
            <w:shd w:val="clear" w:color="auto" w:fill="D9D9D9"/>
          </w:tcPr>
          <w:p w:rsidR="00ED2B37" w:rsidRDefault="00F925DE">
            <w:pPr>
              <w:spacing w:before="40" w:after="40" w:line="240" w:lineRule="auto"/>
              <w:rPr>
                <w:rFonts w:cs="Times New Roman"/>
                <w:szCs w:val="22"/>
              </w:rPr>
            </w:pPr>
            <w:r>
              <w:rPr>
                <w:rFonts w:cs="Times New Roman"/>
                <w:b w:val="0"/>
                <w:szCs w:val="22"/>
              </w:rPr>
              <w:t>Year 5</w:t>
            </w:r>
          </w:p>
        </w:tc>
        <w:tc>
          <w:tcPr>
            <w:tcW w:w="2551"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F925DE">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(latest year)</w:t>
            </w:r>
          </w:p>
        </w:tc>
        <w:tc>
          <w:tcPr>
            <w:tcW w:w="1169"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71.4</w:t>
            </w:r>
          </w:p>
        </w:tc>
        <w:tc>
          <w:tcPr>
            <w:tcW w:w="1170"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67.6</w:t>
            </w:r>
          </w:p>
        </w:tc>
        <w:tc>
          <w:tcPr>
            <w:tcW w:w="1169"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50.0</w:t>
            </w:r>
          </w:p>
        </w:tc>
        <w:tc>
          <w:tcPr>
            <w:tcW w:w="1170"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83.1</w:t>
            </w:r>
          </w:p>
        </w:tc>
        <w:tc>
          <w:tcPr>
            <w:tcW w:w="1341" w:type="dxa"/>
            <w:tcBorders>
              <w:top w:val="single" w:sz="2" w:space="0" w:color="106CB5"/>
              <w:left w:val="single" w:sz="4" w:space="0" w:color="FFFFFF" w:themeColor="background1"/>
              <w:bottom w:val="nil"/>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Similar</w:t>
            </w:r>
          </w:p>
        </w:tc>
      </w:tr>
      <w:tr w:rsidR="00873CFB" w:rsidTr="00873CFB">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2" w:space="0" w:color="126CB5"/>
              <w:right w:val="single" w:sz="4" w:space="0" w:color="FFFFFF" w:themeColor="background1"/>
            </w:tcBorders>
            <w:shd w:val="clear" w:color="auto" w:fill="auto"/>
          </w:tcPr>
          <w:p w:rsidR="00ED2B37" w:rsidRDefault="00F925DE">
            <w:pPr>
              <w:spacing w:before="40" w:after="40" w:line="240" w:lineRule="auto"/>
              <w:rPr>
                <w:rFonts w:cs="Times New Roman"/>
                <w:szCs w:val="22"/>
              </w:rPr>
            </w:pPr>
            <w:r>
              <w:rPr>
                <w:rFonts w:cs="Times New Roman"/>
                <w:b w:val="0"/>
                <w:szCs w:val="22"/>
              </w:rPr>
              <w:t>Year 5</w:t>
            </w:r>
          </w:p>
        </w:tc>
        <w:tc>
          <w:tcPr>
            <w:tcW w:w="2551"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F925DE">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(latest year)</w:t>
            </w:r>
          </w:p>
        </w:tc>
        <w:tc>
          <w:tcPr>
            <w:tcW w:w="1169"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 xml:space="preserve">  42.9</w:t>
            </w:r>
          </w:p>
        </w:tc>
        <w:tc>
          <w:tcPr>
            <w:tcW w:w="1170"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59.3</w:t>
            </w:r>
          </w:p>
        </w:tc>
        <w:tc>
          <w:tcPr>
            <w:tcW w:w="1169"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41.2</w:t>
            </w:r>
          </w:p>
        </w:tc>
        <w:tc>
          <w:tcPr>
            <w:tcW w:w="1170"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76.4</w:t>
            </w:r>
          </w:p>
        </w:tc>
        <w:tc>
          <w:tcPr>
            <w:tcW w:w="1341" w:type="dxa"/>
            <w:tcBorders>
              <w:top w:val="nil"/>
              <w:left w:val="single" w:sz="4" w:space="0" w:color="FFFFFF" w:themeColor="background1"/>
              <w:bottom w:val="single" w:sz="2" w:space="0" w:color="126CB5"/>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Below</w:t>
            </w:r>
          </w:p>
        </w:tc>
      </w:tr>
      <w:bookmarkEnd w:id="2"/>
    </w:tbl>
    <w:p w:rsidR="00ED2B37" w:rsidRDefault="00F925DE">
      <w:pPr>
        <w:pStyle w:val="ESBodyText"/>
      </w:pPr>
    </w:p>
    <w:tbl>
      <w:tblPr>
        <w:tblStyle w:val="GridTable2-Accent611"/>
        <w:tblW w:w="10628" w:type="dxa"/>
        <w:jc w:val="center"/>
        <w:tblLayout w:type="fixed"/>
        <w:tblLook w:val="04A0" w:firstRow="1" w:lastRow="0" w:firstColumn="1" w:lastColumn="0" w:noHBand="0" w:noVBand="1"/>
        <w:tblCaption w:val="NAPLAN 4 year Average Results - Year 3, Year 5, Year 7 and Year 9"/>
      </w:tblPr>
      <w:tblGrid>
        <w:gridCol w:w="2199"/>
        <w:gridCol w:w="2410"/>
        <w:gridCol w:w="1169"/>
        <w:gridCol w:w="1170"/>
        <w:gridCol w:w="1169"/>
        <w:gridCol w:w="1170"/>
        <w:gridCol w:w="1341"/>
      </w:tblGrid>
      <w:tr w:rsidR="00873CFB" w:rsidTr="00873CFB">
        <w:trPr>
          <w:cnfStyle w:val="100000000000" w:firstRow="1" w:lastRow="0" w:firstColumn="0" w:lastColumn="0" w:oddVBand="0" w:evenVBand="0" w:oddHBand="0" w:evenHBand="0" w:firstRowFirstColumn="0" w:firstRowLastColumn="0" w:lastRowFirstColumn="0" w:lastRowLastColumn="0"/>
          <w:trHeight w:val="632"/>
          <w:tblHeader/>
          <w:jc w:val="center"/>
        </w:trPr>
        <w:tc>
          <w:tcPr>
            <w:cnfStyle w:val="001000000000" w:firstRow="0" w:lastRow="0" w:firstColumn="1" w:lastColumn="0" w:oddVBand="0" w:evenVBand="0" w:oddHBand="0" w:evenHBand="0" w:firstRowFirstColumn="0" w:firstRowLastColumn="0" w:lastRowFirstColumn="0" w:lastRowLastColumn="0"/>
            <w:tcW w:w="2199" w:type="dxa"/>
            <w:tcBorders>
              <w:bottom w:val="single" w:sz="12" w:space="0" w:color="FFFFFF"/>
            </w:tcBorders>
            <w:shd w:val="clear" w:color="auto" w:fill="106CB5"/>
            <w:vAlign w:val="center"/>
          </w:tcPr>
          <w:p w:rsidR="00ED2B37" w:rsidRDefault="00F925DE">
            <w:pPr>
              <w:spacing w:before="40" w:after="40" w:line="240" w:lineRule="auto"/>
              <w:rPr>
                <w:rFonts w:cs="Times New Roman"/>
                <w:color w:val="FFFFFF"/>
                <w:szCs w:val="22"/>
              </w:rPr>
            </w:pPr>
            <w:r>
              <w:rPr>
                <w:rFonts w:cs="Times New Roman"/>
                <w:bCs w:val="0"/>
                <w:color w:val="FFFFFF"/>
                <w:szCs w:val="22"/>
              </w:rPr>
              <w:t xml:space="preserve">NAPLAN top 3 bands </w:t>
            </w:r>
          </w:p>
          <w:p w:rsidR="00ED2B37" w:rsidRDefault="00F925DE">
            <w:pPr>
              <w:spacing w:before="40" w:after="40" w:line="240" w:lineRule="auto"/>
              <w:rPr>
                <w:rFonts w:cs="Times New Roman"/>
                <w:color w:val="FFFFFF"/>
                <w:szCs w:val="22"/>
              </w:rPr>
            </w:pPr>
            <w:r>
              <w:rPr>
                <w:rFonts w:cs="Times New Roman"/>
                <w:bCs w:val="0"/>
                <w:color w:val="FFFFFF"/>
                <w:szCs w:val="22"/>
              </w:rPr>
              <w:t>(4 year average)</w:t>
            </w:r>
          </w:p>
        </w:tc>
        <w:tc>
          <w:tcPr>
            <w:tcW w:w="2410" w:type="dxa"/>
            <w:tcBorders>
              <w:bottom w:val="single" w:sz="12" w:space="0" w:color="FFFFFF"/>
            </w:tcBorders>
            <w:shd w:val="clear" w:color="auto" w:fill="106CB5"/>
            <w:noWrap/>
            <w:vAlign w:val="center"/>
            <w:hideMark/>
          </w:tcPr>
          <w:p w:rsidR="00ED2B37" w:rsidRDefault="00F925DE">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p>
        </w:tc>
        <w:tc>
          <w:tcPr>
            <w:tcW w:w="1169" w:type="dxa"/>
            <w:tcBorders>
              <w:bottom w:val="single" w:sz="12" w:space="0" w:color="FFFFFF"/>
            </w:tcBorders>
            <w:shd w:val="clear" w:color="auto" w:fill="106CB5"/>
            <w:noWrap/>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170" w:type="dxa"/>
            <w:tcBorders>
              <w:bottom w:val="single" w:sz="12" w:space="0" w:color="FFFFFF"/>
            </w:tcBorders>
            <w:shd w:val="clear" w:color="auto" w:fill="106CB5"/>
            <w:noWrap/>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1169" w:type="dxa"/>
            <w:tcBorders>
              <w:bottom w:val="single" w:sz="12" w:space="0" w:color="FFFFFF"/>
            </w:tcBorders>
            <w:shd w:val="clear" w:color="auto" w:fill="106CB5"/>
            <w:noWrap/>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1170" w:type="dxa"/>
            <w:tcBorders>
              <w:bottom w:val="single" w:sz="12" w:space="0" w:color="FFFFFF"/>
            </w:tcBorders>
            <w:shd w:val="clear" w:color="auto" w:fill="106CB5"/>
            <w:noWrap/>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1341" w:type="dxa"/>
            <w:tcBorders>
              <w:bottom w:val="single" w:sz="12" w:space="0" w:color="FFFFFF"/>
            </w:tcBorders>
            <w:shd w:val="clear" w:color="auto" w:fill="106CB5"/>
            <w:noWrap/>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Similar School Comparison</w:t>
            </w:r>
          </w:p>
        </w:tc>
      </w:tr>
      <w:tr w:rsidR="00873CFB" w:rsidTr="00873C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12" w:space="0" w:color="FFFFFF"/>
              <w:bottom w:val="single" w:sz="4" w:space="0" w:color="106CB5"/>
            </w:tcBorders>
            <w:shd w:val="clear" w:color="auto" w:fill="FFFFFF"/>
          </w:tcPr>
          <w:p w:rsidR="00ED2B37" w:rsidRDefault="00F925DE">
            <w:pPr>
              <w:spacing w:before="40" w:after="40" w:line="240" w:lineRule="auto"/>
              <w:rPr>
                <w:rFonts w:cs="Times New Roman"/>
                <w:szCs w:val="22"/>
              </w:rPr>
            </w:pPr>
            <w:r>
              <w:rPr>
                <w:rFonts w:cs="Times New Roman"/>
                <w:szCs w:val="22"/>
              </w:rPr>
              <w:t>Year Level</w:t>
            </w:r>
          </w:p>
        </w:tc>
        <w:tc>
          <w:tcPr>
            <w:tcW w:w="2410" w:type="dxa"/>
            <w:tcBorders>
              <w:top w:val="single" w:sz="12" w:space="0" w:color="FFFFFF"/>
              <w:bottom w:val="single" w:sz="4" w:space="0" w:color="106CB5"/>
            </w:tcBorders>
            <w:shd w:val="clear" w:color="auto" w:fill="FFFFFF"/>
            <w:noWrap/>
            <w:vAlign w:val="center"/>
          </w:tcPr>
          <w:p w:rsidR="00ED2B37" w:rsidRDefault="00F925DE">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169" w:type="dxa"/>
            <w:tcBorders>
              <w:top w:val="single" w:sz="12" w:space="0" w:color="FFFFFF"/>
              <w:bottom w:val="single" w:sz="4"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69" w:type="dxa"/>
            <w:tcBorders>
              <w:top w:val="single" w:sz="12" w:space="0" w:color="FFFFFF"/>
              <w:bottom w:val="single" w:sz="4"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341" w:type="dxa"/>
            <w:tcBorders>
              <w:top w:val="single" w:sz="12" w:space="0" w:color="FFFFFF"/>
              <w:bottom w:val="single" w:sz="4"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873CFB" w:rsidTr="00873C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106CB5"/>
              <w:bottom w:val="single" w:sz="4" w:space="0" w:color="FFFFFF" w:themeColor="background1"/>
              <w:right w:val="single" w:sz="4" w:space="0" w:color="FFFFFF" w:themeColor="background1"/>
            </w:tcBorders>
            <w:shd w:val="clear" w:color="auto" w:fill="D9D9D9" w:themeFill="background1" w:themeFillShade="D9"/>
          </w:tcPr>
          <w:p w:rsidR="00ED2B37" w:rsidRDefault="00F925DE">
            <w:pPr>
              <w:spacing w:before="40" w:after="40" w:line="240" w:lineRule="auto"/>
              <w:rPr>
                <w:rFonts w:cs="Times New Roman"/>
                <w:szCs w:val="22"/>
              </w:rPr>
            </w:pPr>
            <w:r>
              <w:rPr>
                <w:rFonts w:cs="Times New Roman"/>
                <w:b w:val="0"/>
                <w:szCs w:val="22"/>
              </w:rPr>
              <w:t>Year 3</w:t>
            </w:r>
          </w:p>
        </w:tc>
        <w:tc>
          <w:tcPr>
            <w:tcW w:w="241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F925DE">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bCs/>
                <w:szCs w:val="22"/>
              </w:rPr>
            </w:pPr>
            <w:r>
              <w:rPr>
                <w:rFonts w:cs="Times New Roman"/>
                <w:bCs/>
                <w:szCs w:val="22"/>
              </w:rPr>
              <w:t>Reading (4 year average)</w:t>
            </w:r>
          </w:p>
        </w:tc>
        <w:tc>
          <w:tcPr>
            <w:tcW w:w="1169"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77.8</w:t>
            </w:r>
          </w:p>
        </w:tc>
        <w:tc>
          <w:tcPr>
            <w:tcW w:w="117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73.0</w:t>
            </w:r>
          </w:p>
        </w:tc>
        <w:tc>
          <w:tcPr>
            <w:tcW w:w="1169"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59.7</w:t>
            </w:r>
          </w:p>
        </w:tc>
        <w:tc>
          <w:tcPr>
            <w:tcW w:w="117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84.9</w:t>
            </w:r>
          </w:p>
        </w:tc>
        <w:tc>
          <w:tcPr>
            <w:tcW w:w="1341" w:type="dxa"/>
            <w:tcBorders>
              <w:top w:val="single" w:sz="4" w:space="0" w:color="106CB5"/>
              <w:left w:val="single" w:sz="4" w:space="0" w:color="FFFFFF" w:themeColor="background1"/>
              <w:bottom w:val="single" w:sz="4" w:space="0" w:color="FFFFFF" w:themeColor="background1"/>
            </w:tcBorders>
            <w:shd w:val="clear" w:color="auto" w:fill="D9D9D9" w:themeFill="background1" w:themeFillShade="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w:t>
            </w:r>
          </w:p>
        </w:tc>
      </w:tr>
      <w:tr w:rsidR="00873CFB" w:rsidTr="00873CFB">
        <w:trP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FFFFFF" w:themeColor="background1"/>
              <w:bottom w:val="single" w:sz="4" w:space="0" w:color="126CB5"/>
              <w:right w:val="single" w:sz="4" w:space="0" w:color="FFFFFF" w:themeColor="background1"/>
            </w:tcBorders>
            <w:shd w:val="clear" w:color="auto" w:fill="auto"/>
          </w:tcPr>
          <w:p w:rsidR="00ED2B37" w:rsidRDefault="00F925DE">
            <w:pPr>
              <w:spacing w:before="40" w:after="40" w:line="240" w:lineRule="auto"/>
              <w:rPr>
                <w:rFonts w:cs="Times New Roman"/>
                <w:szCs w:val="22"/>
              </w:rPr>
            </w:pPr>
            <w:r>
              <w:rPr>
                <w:rFonts w:cs="Times New Roman"/>
                <w:b w:val="0"/>
                <w:szCs w:val="22"/>
              </w:rPr>
              <w:t>Year 3</w:t>
            </w:r>
          </w:p>
        </w:tc>
        <w:tc>
          <w:tcPr>
            <w:tcW w:w="241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ED2B37" w:rsidRDefault="00F925DE">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(4 year average)</w:t>
            </w:r>
          </w:p>
        </w:tc>
        <w:tc>
          <w:tcPr>
            <w:tcW w:w="1169"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 xml:space="preserve">  72.2</w:t>
            </w:r>
          </w:p>
        </w:tc>
        <w:tc>
          <w:tcPr>
            <w:tcW w:w="117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67.1</w:t>
            </w:r>
          </w:p>
        </w:tc>
        <w:tc>
          <w:tcPr>
            <w:tcW w:w="1169"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52.4</w:t>
            </w:r>
          </w:p>
        </w:tc>
        <w:tc>
          <w:tcPr>
            <w:tcW w:w="117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80.7</w:t>
            </w:r>
          </w:p>
        </w:tc>
        <w:tc>
          <w:tcPr>
            <w:tcW w:w="1341" w:type="dxa"/>
            <w:tcBorders>
              <w:top w:val="single" w:sz="4" w:space="0" w:color="FFFFFF" w:themeColor="background1"/>
              <w:left w:val="single" w:sz="4" w:space="0" w:color="FFFFFF" w:themeColor="background1"/>
              <w:bottom w:val="single" w:sz="4" w:space="0" w:color="126CB5"/>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w:t>
            </w:r>
          </w:p>
        </w:tc>
      </w:tr>
      <w:tr w:rsidR="00873CFB" w:rsidTr="00873C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126CB5"/>
              <w:bottom w:val="single" w:sz="4" w:space="0" w:color="FFFFFF" w:themeColor="background1"/>
              <w:right w:val="single" w:sz="4" w:space="0" w:color="FFFFFF" w:themeColor="background1"/>
            </w:tcBorders>
            <w:shd w:val="clear" w:color="auto" w:fill="D9D9D9" w:themeFill="background1" w:themeFillShade="D9"/>
          </w:tcPr>
          <w:p w:rsidR="00ED2B37" w:rsidRDefault="00F925DE">
            <w:pPr>
              <w:spacing w:before="40" w:after="40" w:line="240" w:lineRule="auto"/>
              <w:rPr>
                <w:rFonts w:cs="Times New Roman"/>
                <w:szCs w:val="22"/>
              </w:rPr>
            </w:pPr>
            <w:r>
              <w:rPr>
                <w:rFonts w:cs="Times New Roman"/>
                <w:b w:val="0"/>
                <w:szCs w:val="22"/>
              </w:rPr>
              <w:t>Year 5</w:t>
            </w:r>
          </w:p>
        </w:tc>
        <w:tc>
          <w:tcPr>
            <w:tcW w:w="241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F925DE">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(4 year average)</w:t>
            </w:r>
          </w:p>
        </w:tc>
        <w:tc>
          <w:tcPr>
            <w:tcW w:w="116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73.7</w:t>
            </w:r>
          </w:p>
        </w:tc>
        <w:tc>
          <w:tcPr>
            <w:tcW w:w="117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64.1</w:t>
            </w:r>
          </w:p>
        </w:tc>
        <w:tc>
          <w:tcPr>
            <w:tcW w:w="116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50.0</w:t>
            </w:r>
          </w:p>
        </w:tc>
        <w:tc>
          <w:tcPr>
            <w:tcW w:w="117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77.8</w:t>
            </w:r>
          </w:p>
        </w:tc>
        <w:tc>
          <w:tcPr>
            <w:tcW w:w="1341" w:type="dxa"/>
            <w:tcBorders>
              <w:top w:val="single" w:sz="4" w:space="0" w:color="126CB5"/>
              <w:left w:val="single" w:sz="4" w:space="0" w:color="FFFFFF" w:themeColor="background1"/>
              <w:bottom w:val="single" w:sz="4" w:space="0" w:color="FFFFFF" w:themeColor="background1"/>
            </w:tcBorders>
            <w:shd w:val="clear" w:color="auto" w:fill="D9D9D9" w:themeFill="background1" w:themeFillShade="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w:t>
            </w:r>
          </w:p>
        </w:tc>
      </w:tr>
      <w:tr w:rsidR="00873CFB" w:rsidTr="00873CFB">
        <w:trP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FFFFFF" w:themeColor="background1"/>
              <w:bottom w:val="single" w:sz="2" w:space="0" w:color="126CB5"/>
              <w:right w:val="single" w:sz="4" w:space="0" w:color="FFFFFF" w:themeColor="background1"/>
            </w:tcBorders>
            <w:shd w:val="clear" w:color="auto" w:fill="auto"/>
          </w:tcPr>
          <w:p w:rsidR="00ED2B37" w:rsidRDefault="00F925DE">
            <w:pPr>
              <w:spacing w:before="40" w:after="40" w:line="240" w:lineRule="auto"/>
              <w:rPr>
                <w:rFonts w:cs="Times New Roman"/>
                <w:szCs w:val="22"/>
              </w:rPr>
            </w:pPr>
            <w:r>
              <w:rPr>
                <w:rFonts w:cs="Times New Roman"/>
                <w:b w:val="0"/>
                <w:szCs w:val="22"/>
              </w:rPr>
              <w:t>Year 5</w:t>
            </w:r>
          </w:p>
        </w:tc>
        <w:tc>
          <w:tcPr>
            <w:tcW w:w="241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F925DE">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(4 year average)</w:t>
            </w:r>
          </w:p>
        </w:tc>
        <w:tc>
          <w:tcPr>
            <w:tcW w:w="1169"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 xml:space="preserve">  63.2</w:t>
            </w:r>
          </w:p>
        </w:tc>
        <w:tc>
          <w:tcPr>
            <w:tcW w:w="117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56.3</w:t>
            </w:r>
          </w:p>
        </w:tc>
        <w:tc>
          <w:tcPr>
            <w:tcW w:w="1169"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40.7</w:t>
            </w:r>
          </w:p>
        </w:tc>
        <w:tc>
          <w:tcPr>
            <w:tcW w:w="117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71.7</w:t>
            </w:r>
          </w:p>
        </w:tc>
        <w:tc>
          <w:tcPr>
            <w:tcW w:w="1341" w:type="dxa"/>
            <w:tcBorders>
              <w:top w:val="single" w:sz="4" w:space="0" w:color="FFFFFF" w:themeColor="background1"/>
              <w:left w:val="single" w:sz="4" w:space="0" w:color="FFFFFF" w:themeColor="background1"/>
              <w:bottom w:val="single" w:sz="2" w:space="0" w:color="126CB5"/>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w:t>
            </w:r>
          </w:p>
        </w:tc>
      </w:tr>
    </w:tbl>
    <w:p w:rsidR="00ED2B37" w:rsidRDefault="00F925DE">
      <w:pPr>
        <w:pStyle w:val="ESBodyText"/>
      </w:pPr>
    </w:p>
    <w:p w:rsidR="00ED2B37" w:rsidRDefault="00F925DE">
      <w:pPr>
        <w:pStyle w:val="ESBodyText"/>
        <w:rPr>
          <w:rFonts w:eastAsiaTheme="majorEastAsia" w:cstheme="majorBidi"/>
          <w:b/>
          <w:bCs/>
          <w:color w:val="00008B"/>
          <w:szCs w:val="20"/>
        </w:rPr>
      </w:pPr>
      <w:r>
        <w:rPr>
          <w:rFonts w:eastAsiaTheme="majorEastAsia" w:cstheme="majorBidi"/>
          <w:b/>
          <w:bCs/>
          <w:color w:val="00008B"/>
          <w:szCs w:val="20"/>
        </w:rPr>
        <w:t>NAPLAN Learning Gain</w:t>
      </w:r>
    </w:p>
    <w:p w:rsidR="00ED2B37" w:rsidRDefault="00F925DE">
      <w:pPr>
        <w:pStyle w:val="ESBodyText"/>
      </w:pPr>
      <w:r>
        <w:t xml:space="preserve">Learning </w:t>
      </w:r>
      <w:r>
        <w:t>G</w:t>
      </w:r>
      <w:r>
        <w:t xml:space="preserve">ain of students from year levels 3 to </w:t>
      </w:r>
      <w:r>
        <w:t>5 in the following domains; Reading, Numeracy, Writing, Spelling and Grammar and Punctuation.</w:t>
      </w:r>
    </w:p>
    <w:p w:rsidR="00ED2B37" w:rsidRDefault="00F925DE">
      <w:pPr>
        <w:pStyle w:val="ESBodyText"/>
      </w:pPr>
      <w:r>
        <w:t xml:space="preserve">NAPLAN </w:t>
      </w:r>
      <w:r>
        <w:t>L</w:t>
      </w:r>
      <w:r>
        <w:t xml:space="preserve">earning </w:t>
      </w:r>
      <w:r>
        <w:t>G</w:t>
      </w:r>
      <w:r>
        <w:t>ain is determined by comparing a student's current year result to the results of all ‘similar’ Victorian students (i.e. students in all sectors i</w:t>
      </w:r>
      <w:r>
        <w:t>n the same year level who had the same score two years prior).  If the student’s gain is in the top 25 percent of their cohort, their gain level is categorised as ‘High’.  If their gain is in the bottom 25 percent of their cohort, their gain level is ‘Low’</w:t>
      </w:r>
      <w:r>
        <w:t>, and for the remaining 50 percent of gains the gain level is categorised as ‘Medium’.</w:t>
      </w:r>
    </w:p>
    <w:p w:rsidR="00ED2B37" w:rsidRDefault="00F925DE">
      <w:pPr>
        <w:pStyle w:val="ESBodyText"/>
      </w:pPr>
      <w:r>
        <w:t xml:space="preserve">There </w:t>
      </w:r>
      <w:r>
        <w:t xml:space="preserve">are </w:t>
      </w:r>
      <w:r>
        <w:t xml:space="preserve">no </w:t>
      </w:r>
      <w:r>
        <w:t>Similar School Comparisons for Learning Gain</w:t>
      </w:r>
      <w:r>
        <w:t>.  T</w:t>
      </w:r>
      <w:r>
        <w:t xml:space="preserve">he </w:t>
      </w:r>
      <w:r>
        <w:t>s</w:t>
      </w:r>
      <w:r>
        <w:t xml:space="preserve">tatewide </w:t>
      </w:r>
      <w:r>
        <w:t>d</w:t>
      </w:r>
      <w:r>
        <w:t xml:space="preserve">istribution of </w:t>
      </w:r>
      <w:r>
        <w:t>Learning Gain for all domains is 25% Lo</w:t>
      </w:r>
      <w:r>
        <w:t>w</w:t>
      </w:r>
      <w:r>
        <w:t xml:space="preserve"> </w:t>
      </w:r>
      <w:r>
        <w:t>G</w:t>
      </w:r>
      <w:r>
        <w:t xml:space="preserve">ain, 50% Medium </w:t>
      </w:r>
      <w:r>
        <w:t>G</w:t>
      </w:r>
      <w:r>
        <w:t xml:space="preserve">ain, 25% High </w:t>
      </w:r>
      <w:r>
        <w:t>G</w:t>
      </w:r>
      <w:r>
        <w:t>ain.</w:t>
      </w:r>
    </w:p>
    <w:p w:rsidR="00ED2B37" w:rsidRDefault="00F925DE">
      <w:pPr>
        <w:pStyle w:val="ESBodyText"/>
      </w:pPr>
      <w:r>
        <w:t>The table below displays the percentage of students in each of the Learning Gain levels in this school for each NAPLAN domain.</w:t>
      </w:r>
    </w:p>
    <w:tbl>
      <w:tblPr>
        <w:tblStyle w:val="GridTable2-Accent611"/>
        <w:tblW w:w="10569" w:type="dxa"/>
        <w:jc w:val="center"/>
        <w:tblLayout w:type="fixed"/>
        <w:tblLook w:val="04A0" w:firstRow="1" w:lastRow="0" w:firstColumn="1" w:lastColumn="0" w:noHBand="0" w:noVBand="1"/>
        <w:tblCaption w:val="NAPLAN relative growth rates"/>
      </w:tblPr>
      <w:tblGrid>
        <w:gridCol w:w="3730"/>
        <w:gridCol w:w="2279"/>
        <w:gridCol w:w="2280"/>
        <w:gridCol w:w="2280"/>
      </w:tblGrid>
      <w:tr w:rsidR="00873CFB" w:rsidTr="00873CFB">
        <w:trPr>
          <w:cnfStyle w:val="100000000000" w:firstRow="1" w:lastRow="0" w:firstColumn="0" w:lastColumn="0" w:oddVBand="0" w:evenVBand="0" w:oddHBand="0" w:evenHBand="0" w:firstRowFirstColumn="0" w:firstRowLastColumn="0" w:lastRowFirstColumn="0" w:lastRowLastColumn="0"/>
          <w:trHeight w:val="395"/>
          <w:tblHeader/>
          <w:jc w:val="center"/>
        </w:trPr>
        <w:tc>
          <w:tcPr>
            <w:cnfStyle w:val="001000000000" w:firstRow="0" w:lastRow="0" w:firstColumn="1" w:lastColumn="0" w:oddVBand="0" w:evenVBand="0" w:oddHBand="0" w:evenHBand="0" w:firstRowFirstColumn="0" w:firstRowLastColumn="0" w:lastRowFirstColumn="0" w:lastRowLastColumn="0"/>
            <w:tcW w:w="3730" w:type="dxa"/>
            <w:tcBorders>
              <w:bottom w:val="single" w:sz="12" w:space="0" w:color="FFFFFF"/>
            </w:tcBorders>
            <w:shd w:val="clear" w:color="auto" w:fill="106CB5"/>
            <w:noWrap/>
            <w:vAlign w:val="center"/>
            <w:hideMark/>
          </w:tcPr>
          <w:p w:rsidR="00ED2B37" w:rsidRDefault="00F925DE">
            <w:pPr>
              <w:spacing w:before="40" w:after="40" w:line="240" w:lineRule="auto"/>
              <w:rPr>
                <w:rFonts w:cs="Times New Roman"/>
                <w:color w:val="FFFFFF"/>
                <w:szCs w:val="22"/>
              </w:rPr>
            </w:pPr>
            <w:r>
              <w:rPr>
                <w:rFonts w:cs="Times New Roman"/>
                <w:bCs w:val="0"/>
                <w:color w:val="FFFFFF"/>
                <w:szCs w:val="22"/>
              </w:rPr>
              <w:t>NAPLAN Learning Gain</w:t>
            </w:r>
          </w:p>
        </w:tc>
        <w:tc>
          <w:tcPr>
            <w:tcW w:w="2279" w:type="dxa"/>
            <w:tcBorders>
              <w:bottom w:val="single" w:sz="12" w:space="0" w:color="FFFFFF"/>
            </w:tcBorders>
            <w:shd w:val="clear" w:color="auto" w:fill="106CB5"/>
            <w:noWrap/>
            <w:vAlign w:val="center"/>
            <w:hideMark/>
          </w:tcPr>
          <w:p w:rsidR="00ED2B37" w:rsidRDefault="00F925DE" w:rsidP="00E63C8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Low G</w:t>
            </w:r>
            <w:r>
              <w:rPr>
                <w:rFonts w:cs="Times New Roman"/>
                <w:color w:val="FFFFFF"/>
                <w:szCs w:val="22"/>
              </w:rPr>
              <w:t>ain</w:t>
            </w:r>
          </w:p>
        </w:tc>
        <w:tc>
          <w:tcPr>
            <w:tcW w:w="2280" w:type="dxa"/>
            <w:tcBorders>
              <w:bottom w:val="single" w:sz="12" w:space="0" w:color="FFFFFF"/>
            </w:tcBorders>
            <w:shd w:val="clear" w:color="auto" w:fill="106CB5"/>
            <w:noWrap/>
            <w:vAlign w:val="center"/>
            <w:hideMark/>
          </w:tcPr>
          <w:p w:rsidR="00ED2B37" w:rsidRDefault="00F925DE" w:rsidP="00E63C8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Medium G</w:t>
            </w:r>
            <w:r>
              <w:rPr>
                <w:rFonts w:cs="Times New Roman"/>
                <w:color w:val="FFFFFF"/>
                <w:szCs w:val="22"/>
              </w:rPr>
              <w:t>ain</w:t>
            </w:r>
          </w:p>
        </w:tc>
        <w:tc>
          <w:tcPr>
            <w:tcW w:w="2280" w:type="dxa"/>
            <w:tcBorders>
              <w:bottom w:val="single" w:sz="12" w:space="0" w:color="FFFFFF"/>
            </w:tcBorders>
            <w:shd w:val="clear" w:color="auto" w:fill="106CB5"/>
            <w:noWrap/>
            <w:vAlign w:val="center"/>
            <w:hideMark/>
          </w:tcPr>
          <w:p w:rsidR="00ED2B37" w:rsidRDefault="00F925DE" w:rsidP="00E63C8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High G</w:t>
            </w:r>
            <w:r>
              <w:rPr>
                <w:rFonts w:cs="Times New Roman"/>
                <w:color w:val="FFFFFF"/>
                <w:szCs w:val="22"/>
              </w:rPr>
              <w:t>ain</w:t>
            </w:r>
          </w:p>
        </w:tc>
      </w:tr>
      <w:tr w:rsidR="00873CFB" w:rsidTr="00873C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12" w:space="0" w:color="FFFFFF"/>
              <w:bottom w:val="single" w:sz="4" w:space="0" w:color="126CB5"/>
            </w:tcBorders>
            <w:shd w:val="clear" w:color="auto" w:fill="FFFFFF"/>
            <w:noWrap/>
            <w:vAlign w:val="center"/>
          </w:tcPr>
          <w:p w:rsidR="00ED2B37" w:rsidRDefault="00F925DE">
            <w:pPr>
              <w:spacing w:before="40" w:after="40" w:line="240" w:lineRule="auto"/>
              <w:rPr>
                <w:rFonts w:cs="Times New Roman"/>
                <w:szCs w:val="22"/>
              </w:rPr>
            </w:pPr>
            <w:r>
              <w:rPr>
                <w:rFonts w:cs="Times New Roman"/>
                <w:szCs w:val="22"/>
              </w:rPr>
              <w:t>Domain</w:t>
            </w:r>
          </w:p>
        </w:tc>
        <w:tc>
          <w:tcPr>
            <w:tcW w:w="2279" w:type="dxa"/>
            <w:tcBorders>
              <w:top w:val="single" w:sz="12" w:space="0" w:color="FFFFFF"/>
              <w:bottom w:val="single" w:sz="4" w:space="0" w:color="12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2280" w:type="dxa"/>
            <w:tcBorders>
              <w:top w:val="single" w:sz="12" w:space="0" w:color="FFFFFF"/>
              <w:bottom w:val="single" w:sz="4" w:space="0" w:color="12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2280" w:type="dxa"/>
            <w:tcBorders>
              <w:top w:val="single" w:sz="12" w:space="0" w:color="FFFFFF"/>
              <w:bottom w:val="single" w:sz="4" w:space="0" w:color="12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873CFB" w:rsidTr="00873C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126CB5"/>
              <w:bottom w:val="single" w:sz="4" w:space="0" w:color="FFFFFF" w:themeColor="background1"/>
              <w:right w:val="single" w:sz="4" w:space="0" w:color="FFFFFF" w:themeColor="background1"/>
            </w:tcBorders>
            <w:shd w:val="clear" w:color="auto" w:fill="D9D9D9"/>
            <w:noWrap/>
            <w:vAlign w:val="center"/>
          </w:tcPr>
          <w:p w:rsidR="00ED2B37" w:rsidRDefault="00F925DE">
            <w:pPr>
              <w:spacing w:before="40" w:after="40" w:line="240" w:lineRule="auto"/>
              <w:rPr>
                <w:rFonts w:cs="Times New Roman"/>
                <w:szCs w:val="22"/>
              </w:rPr>
            </w:pPr>
            <w:r>
              <w:rPr>
                <w:rFonts w:cs="Times New Roman"/>
                <w:b w:val="0"/>
                <w:szCs w:val="22"/>
              </w:rPr>
              <w:t>Reading</w:t>
            </w:r>
          </w:p>
        </w:tc>
        <w:tc>
          <w:tcPr>
            <w:tcW w:w="227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33.3</w:t>
            </w:r>
          </w:p>
        </w:tc>
        <w:tc>
          <w:tcPr>
            <w:tcW w:w="228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33.3</w:t>
            </w:r>
          </w:p>
        </w:tc>
        <w:tc>
          <w:tcPr>
            <w:tcW w:w="2280" w:type="dxa"/>
            <w:tcBorders>
              <w:top w:val="single" w:sz="4" w:space="0" w:color="126CB5"/>
              <w:left w:val="single" w:sz="4" w:space="0" w:color="FFFFFF" w:themeColor="background1"/>
              <w:bottom w:val="single" w:sz="4" w:space="0" w:color="FFFFFF" w:themeColor="background1"/>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33.3</w:t>
            </w:r>
          </w:p>
        </w:tc>
      </w:tr>
      <w:tr w:rsidR="00873CFB" w:rsidTr="00873CFB">
        <w:trP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ED2B37" w:rsidRDefault="00F925DE">
            <w:pPr>
              <w:spacing w:before="40" w:after="40" w:line="240" w:lineRule="auto"/>
              <w:rPr>
                <w:rFonts w:cs="Times New Roman"/>
                <w:szCs w:val="22"/>
              </w:rPr>
            </w:pPr>
            <w:r>
              <w:rPr>
                <w:rFonts w:cs="Times New Roman"/>
                <w:b w:val="0"/>
                <w:bCs w:val="0"/>
                <w:szCs w:val="22"/>
              </w:rPr>
              <w:t>Numeracy</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16.7</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66.7</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16.7</w:t>
            </w:r>
          </w:p>
        </w:tc>
      </w:tr>
      <w:tr w:rsidR="00873CFB" w:rsidTr="00873C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ED2B37" w:rsidRDefault="00F925DE">
            <w:pPr>
              <w:spacing w:before="40" w:after="40" w:line="240" w:lineRule="auto"/>
              <w:rPr>
                <w:rFonts w:cs="Times New Roman"/>
                <w:szCs w:val="22"/>
              </w:rPr>
            </w:pPr>
            <w:r>
              <w:rPr>
                <w:rFonts w:cs="Times New Roman"/>
                <w:b w:val="0"/>
                <w:szCs w:val="22"/>
              </w:rPr>
              <w:t>Writing</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0.0</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83.3</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DBD9D6"/>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16.7</w:t>
            </w:r>
          </w:p>
        </w:tc>
      </w:tr>
      <w:tr w:rsidR="00873CFB" w:rsidTr="00873CFB">
        <w:trP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ED2B37" w:rsidRDefault="00F925DE">
            <w:pPr>
              <w:spacing w:before="40" w:after="40" w:line="240" w:lineRule="auto"/>
              <w:rPr>
                <w:rFonts w:cs="Times New Roman"/>
                <w:szCs w:val="22"/>
              </w:rPr>
            </w:pPr>
            <w:r>
              <w:rPr>
                <w:rFonts w:cs="Times New Roman"/>
                <w:b w:val="0"/>
                <w:bCs w:val="0"/>
                <w:szCs w:val="22"/>
              </w:rPr>
              <w:t>Spelling</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33.3</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50.0</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16.7</w:t>
            </w:r>
          </w:p>
        </w:tc>
      </w:tr>
      <w:tr w:rsidR="00873CFB" w:rsidTr="00873C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106CB5"/>
              <w:right w:val="single" w:sz="4" w:space="0" w:color="FFFFFF" w:themeColor="background1"/>
            </w:tcBorders>
            <w:shd w:val="clear" w:color="auto" w:fill="DBD9D6"/>
            <w:noWrap/>
            <w:vAlign w:val="center"/>
          </w:tcPr>
          <w:p w:rsidR="00ED2B37" w:rsidRDefault="00F925DE">
            <w:pPr>
              <w:spacing w:before="40" w:after="40" w:line="240" w:lineRule="auto"/>
              <w:rPr>
                <w:rFonts w:cs="Times New Roman"/>
                <w:szCs w:val="22"/>
              </w:rPr>
            </w:pPr>
            <w:r>
              <w:rPr>
                <w:rFonts w:cs="Times New Roman"/>
                <w:b w:val="0"/>
                <w:szCs w:val="22"/>
              </w:rPr>
              <w:t>Grammar and Punctuation</w:t>
            </w:r>
          </w:p>
        </w:tc>
        <w:tc>
          <w:tcPr>
            <w:tcW w:w="2279" w:type="dxa"/>
            <w:tcBorders>
              <w:top w:val="single" w:sz="4" w:space="0" w:color="FFFFFF" w:themeColor="background1"/>
              <w:left w:val="single" w:sz="4" w:space="0" w:color="FFFFFF" w:themeColor="background1"/>
              <w:bottom w:val="single" w:sz="4" w:space="0" w:color="106CB5"/>
              <w:right w:val="single" w:sz="4" w:space="0" w:color="FFFFFF" w:themeColor="background1"/>
            </w:tcBorders>
            <w:shd w:val="clear" w:color="auto" w:fill="DBD9D6"/>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66.7</w:t>
            </w:r>
          </w:p>
        </w:tc>
        <w:tc>
          <w:tcPr>
            <w:tcW w:w="2280" w:type="dxa"/>
            <w:tcBorders>
              <w:top w:val="single" w:sz="4" w:space="0" w:color="FFFFFF" w:themeColor="background1"/>
              <w:left w:val="single" w:sz="4" w:space="0" w:color="FFFFFF" w:themeColor="background1"/>
              <w:bottom w:val="single" w:sz="4" w:space="0" w:color="106CB5"/>
              <w:right w:val="single" w:sz="4" w:space="0" w:color="FFFFFF" w:themeColor="background1"/>
            </w:tcBorders>
            <w:shd w:val="clear" w:color="auto" w:fill="DBD9D6"/>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33.3</w:t>
            </w:r>
          </w:p>
        </w:tc>
        <w:tc>
          <w:tcPr>
            <w:tcW w:w="2280" w:type="dxa"/>
            <w:tcBorders>
              <w:top w:val="single" w:sz="4" w:space="0" w:color="FFFFFF" w:themeColor="background1"/>
              <w:left w:val="single" w:sz="4" w:space="0" w:color="FFFFFF" w:themeColor="background1"/>
              <w:bottom w:val="single" w:sz="4" w:space="0" w:color="106CB5"/>
            </w:tcBorders>
            <w:shd w:val="clear" w:color="auto" w:fill="DBD9D6"/>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0.0</w:t>
            </w:r>
          </w:p>
        </w:tc>
      </w:tr>
    </w:tbl>
    <w:p w:rsidR="00ED2B37" w:rsidRDefault="00F925DE">
      <w:pPr>
        <w:pStyle w:val="ESHeading2"/>
        <w:rPr>
          <w:color w:val="00008B"/>
          <w:u w:val="single"/>
        </w:rPr>
      </w:pPr>
      <w:r>
        <w:rPr>
          <w:color w:val="00008B"/>
          <w:u w:val="single"/>
        </w:rPr>
        <w:t>engagement</w:t>
      </w:r>
    </w:p>
    <w:p w:rsidR="00ED2B37" w:rsidRDefault="00F925DE">
      <w:pPr>
        <w:pStyle w:val="ESBodyText"/>
        <w:rPr>
          <w:rFonts w:eastAsiaTheme="majorEastAsia" w:cstheme="majorBidi"/>
          <w:b/>
          <w:bCs/>
          <w:color w:val="00008B"/>
          <w:szCs w:val="20"/>
        </w:rPr>
      </w:pPr>
      <w:r>
        <w:rPr>
          <w:rFonts w:eastAsiaTheme="majorEastAsia" w:cstheme="majorBidi"/>
          <w:b/>
          <w:bCs/>
          <w:color w:val="00008B"/>
          <w:szCs w:val="20"/>
        </w:rPr>
        <w:t>Average Number of Student Absence Days</w:t>
      </w:r>
    </w:p>
    <w:p w:rsidR="00ED2B37" w:rsidRDefault="00F925DE">
      <w:pPr>
        <w:pStyle w:val="ESBodyText"/>
      </w:pPr>
      <w:r>
        <w:t xml:space="preserve">Absence from school can impact on students’ learning. </w:t>
      </w:r>
      <w:r>
        <w:t xml:space="preserve"> </w:t>
      </w:r>
      <w:r>
        <w:t xml:space="preserve">A Similar School Comparison rating of ‘Above’ indicates </w:t>
      </w:r>
      <w:r>
        <w:t>this school records less absences than expected, relative to the similar schools group with similar characteristics.  A rating of ‘Below’ indicates this school records more absences than expected.</w:t>
      </w:r>
    </w:p>
    <w:p w:rsidR="00ED2B37" w:rsidRDefault="00F925DE">
      <w:pPr>
        <w:pStyle w:val="ESBodyText"/>
      </w:pPr>
      <w:r>
        <w:t>Common reasons for non-attendance include illness and exten</w:t>
      </w:r>
      <w:r>
        <w:t>ded family holidays.</w:t>
      </w:r>
    </w:p>
    <w:tbl>
      <w:tblPr>
        <w:tblStyle w:val="GridTable2-Accent61"/>
        <w:tblW w:w="4850" w:type="pct"/>
        <w:jc w:val="center"/>
        <w:tblLayout w:type="fixed"/>
        <w:tblLook w:val="04A0" w:firstRow="1" w:lastRow="0" w:firstColumn="1" w:lastColumn="0" w:noHBand="0" w:noVBand="1"/>
        <w:tblCaption w:val="Average number of student absence days"/>
      </w:tblPr>
      <w:tblGrid>
        <w:gridCol w:w="4529"/>
        <w:gridCol w:w="1147"/>
        <w:gridCol w:w="1149"/>
        <w:gridCol w:w="1147"/>
        <w:gridCol w:w="1149"/>
        <w:gridCol w:w="1322"/>
      </w:tblGrid>
      <w:tr w:rsidR="00873CFB" w:rsidTr="00873CFB">
        <w:trPr>
          <w:cnfStyle w:val="100000000000" w:firstRow="1" w:lastRow="0" w:firstColumn="0" w:lastColumn="0" w:oddVBand="0" w:evenVBand="0" w:oddHBand="0" w:evenHBand="0" w:firstRowFirstColumn="0" w:firstRowLastColumn="0" w:lastRowFirstColumn="0" w:lastRowLastColumn="0"/>
          <w:trHeight w:val="632"/>
          <w:tblHeader/>
          <w:jc w:val="center"/>
        </w:trPr>
        <w:tc>
          <w:tcPr>
            <w:cnfStyle w:val="001000000000" w:firstRow="0" w:lastRow="0" w:firstColumn="1" w:lastColumn="0" w:oddVBand="0" w:evenVBand="0" w:oddHBand="0" w:evenHBand="0" w:firstRowFirstColumn="0" w:firstRowLastColumn="0" w:lastRowFirstColumn="0" w:lastRowLastColumn="0"/>
            <w:tcW w:w="2169" w:type="pct"/>
            <w:tcBorders>
              <w:bottom w:val="single" w:sz="12" w:space="0" w:color="FFFFFF"/>
            </w:tcBorders>
            <w:shd w:val="clear" w:color="auto" w:fill="106CB5"/>
            <w:vAlign w:val="center"/>
            <w:hideMark/>
          </w:tcPr>
          <w:p w:rsidR="00ED2B37" w:rsidRDefault="00F925DE">
            <w:pPr>
              <w:spacing w:before="40" w:after="40" w:line="240" w:lineRule="auto"/>
              <w:rPr>
                <w:rFonts w:cs="Times New Roman"/>
                <w:color w:val="FFFFFF"/>
                <w:szCs w:val="22"/>
              </w:rPr>
            </w:pPr>
            <w:r>
              <w:rPr>
                <w:rFonts w:cs="Times New Roman"/>
                <w:color w:val="FFFFFF"/>
                <w:szCs w:val="22"/>
              </w:rPr>
              <w:t>Average number of absence days</w:t>
            </w:r>
          </w:p>
        </w:tc>
        <w:tc>
          <w:tcPr>
            <w:tcW w:w="549"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550"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549" w:type="pct"/>
            <w:tcBorders>
              <w:bottom w:val="single" w:sz="12" w:space="0" w:color="FFFFFF"/>
            </w:tcBorders>
            <w:shd w:val="clear" w:color="auto" w:fill="106CB5"/>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550"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33" w:type="pct"/>
            <w:tcBorders>
              <w:bottom w:val="single" w:sz="12" w:space="0" w:color="FFFFFF"/>
            </w:tcBorders>
            <w:shd w:val="clear" w:color="auto" w:fill="106CB5"/>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Similar School Comparison</w:t>
            </w:r>
          </w:p>
        </w:tc>
      </w:tr>
      <w:tr w:rsidR="00873CFB" w:rsidTr="00873C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rPr>
                <w:rFonts w:cs="Times New Roman"/>
                <w:szCs w:val="22"/>
              </w:rPr>
            </w:pPr>
          </w:p>
        </w:tc>
        <w:tc>
          <w:tcPr>
            <w:tcW w:w="549"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50"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49" w:type="pct"/>
            <w:tcBorders>
              <w:top w:val="single" w:sz="12" w:space="0" w:color="FFFFFF"/>
              <w:bottom w:val="single" w:sz="2" w:space="0" w:color="106CB5"/>
            </w:tcBorders>
            <w:shd w:val="clear" w:color="auto" w:fill="FFFFFF"/>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50"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633" w:type="pct"/>
            <w:tcBorders>
              <w:top w:val="single" w:sz="12" w:space="0" w:color="FFFFFF"/>
              <w:bottom w:val="single" w:sz="2" w:space="0" w:color="106CB5"/>
            </w:tcBorders>
            <w:shd w:val="clear" w:color="auto" w:fill="FFFFFF"/>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873CFB" w:rsidTr="00873C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2" w:space="0" w:color="106CB5"/>
              <w:bottom w:val="single" w:sz="2" w:space="0" w:color="106CB5"/>
            </w:tcBorders>
            <w:shd w:val="clear" w:color="auto" w:fill="D9D9D9"/>
            <w:noWrap/>
            <w:vAlign w:val="center"/>
          </w:tcPr>
          <w:p w:rsidR="00ED2B37" w:rsidRDefault="00F925DE">
            <w:pPr>
              <w:spacing w:before="40" w:after="40" w:line="240" w:lineRule="auto"/>
              <w:rPr>
                <w:rFonts w:cs="Times New Roman"/>
                <w:szCs w:val="22"/>
              </w:rPr>
            </w:pPr>
            <w:r>
              <w:rPr>
                <w:rFonts w:cs="Times New Roman"/>
                <w:szCs w:val="22"/>
              </w:rPr>
              <w:t>Average number of absence days (latest year)</w:t>
            </w:r>
          </w:p>
        </w:tc>
        <w:tc>
          <w:tcPr>
            <w:tcW w:w="549" w:type="pct"/>
            <w:tcBorders>
              <w:top w:val="single" w:sz="2" w:space="0" w:color="106CB5"/>
              <w:bottom w:val="single" w:sz="2" w:space="0" w:color="106CB5"/>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14.4</w:t>
            </w:r>
          </w:p>
        </w:tc>
        <w:tc>
          <w:tcPr>
            <w:tcW w:w="550" w:type="pct"/>
            <w:tcBorders>
              <w:top w:val="single" w:sz="2" w:space="0" w:color="106CB5"/>
              <w:bottom w:val="single" w:sz="2" w:space="0" w:color="106CB5"/>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16.3</w:t>
            </w:r>
          </w:p>
        </w:tc>
        <w:tc>
          <w:tcPr>
            <w:tcW w:w="549" w:type="pct"/>
            <w:tcBorders>
              <w:top w:val="single" w:sz="2" w:space="0" w:color="106CB5"/>
              <w:bottom w:val="single" w:sz="2" w:space="0" w:color="106CB5"/>
            </w:tcBorders>
            <w:shd w:val="clear" w:color="auto" w:fill="D9D9D9"/>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13.9</w:t>
            </w:r>
          </w:p>
        </w:tc>
        <w:tc>
          <w:tcPr>
            <w:tcW w:w="550" w:type="pct"/>
            <w:tcBorders>
              <w:top w:val="single" w:sz="2" w:space="0" w:color="106CB5"/>
              <w:bottom w:val="single" w:sz="2" w:space="0" w:color="106CB5"/>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19.4</w:t>
            </w:r>
          </w:p>
        </w:tc>
        <w:tc>
          <w:tcPr>
            <w:tcW w:w="633" w:type="pct"/>
            <w:tcBorders>
              <w:top w:val="single" w:sz="2" w:space="0" w:color="106CB5"/>
              <w:bottom w:val="single" w:sz="2" w:space="0" w:color="106CB5"/>
            </w:tcBorders>
            <w:shd w:val="clear" w:color="auto" w:fill="D9D9D9"/>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Similar</w:t>
            </w:r>
          </w:p>
        </w:tc>
      </w:tr>
      <w:tr w:rsidR="00873CFB" w:rsidTr="00873CFB">
        <w:trPr>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2" w:space="0" w:color="106CB5"/>
              <w:bottom w:val="single" w:sz="2" w:space="0" w:color="106CB5"/>
            </w:tcBorders>
            <w:shd w:val="clear" w:color="auto" w:fill="auto"/>
            <w:noWrap/>
            <w:vAlign w:val="center"/>
            <w:hideMark/>
          </w:tcPr>
          <w:p w:rsidR="00ED2B37" w:rsidRDefault="00F925DE">
            <w:pPr>
              <w:spacing w:before="40" w:after="40" w:line="240" w:lineRule="auto"/>
              <w:rPr>
                <w:rFonts w:cs="Times New Roman"/>
                <w:szCs w:val="22"/>
              </w:rPr>
            </w:pPr>
            <w:r>
              <w:rPr>
                <w:rFonts w:cs="Times New Roman"/>
                <w:szCs w:val="22"/>
              </w:rPr>
              <w:t>Average</w:t>
            </w:r>
            <w:r>
              <w:rPr>
                <w:rFonts w:cs="Times New Roman"/>
                <w:szCs w:val="22"/>
              </w:rPr>
              <w:t xml:space="preserve"> number of absence days (4 year average)</w:t>
            </w:r>
          </w:p>
        </w:tc>
        <w:tc>
          <w:tcPr>
            <w:tcW w:w="549" w:type="pct"/>
            <w:tcBorders>
              <w:top w:val="single" w:sz="2" w:space="0" w:color="106CB5"/>
              <w:bottom w:val="single" w:sz="2" w:space="0" w:color="106CB5"/>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15.0</w:t>
            </w:r>
          </w:p>
        </w:tc>
        <w:tc>
          <w:tcPr>
            <w:tcW w:w="550" w:type="pct"/>
            <w:tcBorders>
              <w:top w:val="single" w:sz="2" w:space="0" w:color="106CB5"/>
              <w:bottom w:val="single" w:sz="2" w:space="0" w:color="106CB5"/>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15.5</w:t>
            </w:r>
          </w:p>
        </w:tc>
        <w:tc>
          <w:tcPr>
            <w:tcW w:w="549" w:type="pct"/>
            <w:tcBorders>
              <w:top w:val="single" w:sz="2" w:space="0" w:color="106CB5"/>
              <w:bottom w:val="single" w:sz="2" w:space="0" w:color="106CB5"/>
            </w:tcBorders>
            <w:shd w:val="clear" w:color="auto" w:fill="auto"/>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13.5</w:t>
            </w:r>
          </w:p>
        </w:tc>
        <w:tc>
          <w:tcPr>
            <w:tcW w:w="550" w:type="pct"/>
            <w:tcBorders>
              <w:top w:val="single" w:sz="2" w:space="0" w:color="106CB5"/>
              <w:bottom w:val="single" w:sz="2" w:space="0" w:color="106CB5"/>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18.2</w:t>
            </w:r>
          </w:p>
        </w:tc>
        <w:tc>
          <w:tcPr>
            <w:tcW w:w="633" w:type="pct"/>
            <w:tcBorders>
              <w:top w:val="single" w:sz="2" w:space="0" w:color="106CB5"/>
              <w:bottom w:val="single" w:sz="2" w:space="0" w:color="106CB5"/>
            </w:tcBorders>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w:t>
            </w:r>
          </w:p>
        </w:tc>
      </w:tr>
    </w:tbl>
    <w:p w:rsidR="00ED2B37" w:rsidRDefault="00F925DE" w:rsidP="007C1025">
      <w:pPr>
        <w:pStyle w:val="ESBodyText"/>
        <w:spacing w:after="0"/>
        <w:rPr>
          <w:rFonts w:eastAsiaTheme="majorEastAsia" w:cstheme="majorBidi"/>
          <w:b/>
          <w:bCs/>
          <w:color w:val="AF272F"/>
          <w:szCs w:val="20"/>
        </w:rPr>
      </w:pPr>
    </w:p>
    <w:p w:rsidR="00ED2B37" w:rsidRDefault="00F925DE">
      <w:pPr>
        <w:pStyle w:val="ESBodyText"/>
        <w:rPr>
          <w:rFonts w:eastAsiaTheme="majorEastAsia" w:cstheme="majorBidi"/>
          <w:b/>
          <w:bCs/>
          <w:color w:val="00008B"/>
          <w:szCs w:val="20"/>
        </w:rPr>
      </w:pPr>
      <w:r>
        <w:rPr>
          <w:rFonts w:eastAsiaTheme="majorEastAsia" w:cstheme="majorBidi"/>
          <w:b/>
          <w:bCs/>
          <w:color w:val="00008B"/>
          <w:szCs w:val="20"/>
        </w:rPr>
        <w:t>Attendance Rate</w:t>
      </w:r>
    </w:p>
    <w:p w:rsidR="00ED2B37" w:rsidRDefault="00F925DE">
      <w:pPr>
        <w:pStyle w:val="ESBodyText"/>
      </w:pPr>
      <w:r>
        <w:t>Average 2019 attendance rate by year level:</w:t>
      </w:r>
    </w:p>
    <w:tbl>
      <w:tblPr>
        <w:tblStyle w:val="GridTable2-Accent61"/>
        <w:tblW w:w="4838" w:type="pct"/>
        <w:jc w:val="center"/>
        <w:tblLook w:val="04A0" w:firstRow="1" w:lastRow="0" w:firstColumn="1" w:lastColumn="0" w:noHBand="0" w:noVBand="1"/>
        <w:tblCaption w:val="Attendance rate"/>
      </w:tblPr>
      <w:tblGrid>
        <w:gridCol w:w="3155"/>
        <w:gridCol w:w="1038"/>
        <w:gridCol w:w="1038"/>
        <w:gridCol w:w="1038"/>
        <w:gridCol w:w="1040"/>
        <w:gridCol w:w="1035"/>
        <w:gridCol w:w="1035"/>
        <w:gridCol w:w="1038"/>
      </w:tblGrid>
      <w:tr w:rsidR="00873CFB" w:rsidTr="00873CFB">
        <w:trPr>
          <w:cnfStyle w:val="100000000000" w:firstRow="1" w:lastRow="0" w:firstColumn="0" w:lastColumn="0" w:oddVBand="0" w:evenVBand="0" w:oddHBand="0" w:evenHBand="0" w:firstRowFirstColumn="0" w:firstRowLastColumn="0" w:lastRowFirstColumn="0" w:lastRowLastColumn="0"/>
          <w:trHeight w:val="501"/>
          <w:tblHeader/>
          <w:jc w:val="center"/>
        </w:trPr>
        <w:tc>
          <w:tcPr>
            <w:cnfStyle w:val="001000000000" w:firstRow="0" w:lastRow="0" w:firstColumn="1" w:lastColumn="0" w:oddVBand="0" w:evenVBand="0" w:oddHBand="0" w:evenHBand="0" w:firstRowFirstColumn="0" w:firstRowLastColumn="0" w:lastRowFirstColumn="0" w:lastRowLastColumn="0"/>
            <w:tcW w:w="1515" w:type="pct"/>
            <w:tcBorders>
              <w:bottom w:val="single" w:sz="12" w:space="0" w:color="FFFFFF"/>
            </w:tcBorders>
            <w:shd w:val="clear" w:color="auto" w:fill="106CB5"/>
            <w:vAlign w:val="center"/>
            <w:hideMark/>
          </w:tcPr>
          <w:p w:rsidR="00ED2B37" w:rsidRDefault="00F925DE">
            <w:pPr>
              <w:spacing w:before="40" w:after="40" w:line="240" w:lineRule="auto"/>
              <w:jc w:val="right"/>
              <w:rPr>
                <w:rFonts w:cs="Times New Roman"/>
                <w:color w:val="FFFFFF"/>
                <w:szCs w:val="22"/>
              </w:rPr>
            </w:pPr>
            <w:r>
              <w:rPr>
                <w:rFonts w:cs="Times New Roman"/>
                <w:color w:val="FFFFFF"/>
                <w:szCs w:val="22"/>
              </w:rPr>
              <w:t>Year Level</w:t>
            </w:r>
          </w:p>
        </w:tc>
        <w:tc>
          <w:tcPr>
            <w:tcW w:w="498"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Prep</w:t>
            </w:r>
          </w:p>
        </w:tc>
        <w:tc>
          <w:tcPr>
            <w:tcW w:w="498"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1</w:t>
            </w:r>
          </w:p>
        </w:tc>
        <w:tc>
          <w:tcPr>
            <w:tcW w:w="498" w:type="pct"/>
            <w:tcBorders>
              <w:bottom w:val="single" w:sz="12" w:space="0" w:color="FFFFFF"/>
            </w:tcBorders>
            <w:shd w:val="clear" w:color="auto" w:fill="106CB5"/>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2</w:t>
            </w:r>
          </w:p>
        </w:tc>
        <w:tc>
          <w:tcPr>
            <w:tcW w:w="499" w:type="pct"/>
            <w:tcBorders>
              <w:bottom w:val="single" w:sz="12" w:space="0" w:color="FFFFFF"/>
            </w:tcBorders>
            <w:shd w:val="clear" w:color="auto" w:fill="106CB5"/>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3</w:t>
            </w:r>
          </w:p>
        </w:tc>
        <w:tc>
          <w:tcPr>
            <w:tcW w:w="497" w:type="pct"/>
            <w:tcBorders>
              <w:bottom w:val="single" w:sz="12" w:space="0" w:color="FFFFFF"/>
            </w:tcBorders>
            <w:shd w:val="clear" w:color="auto" w:fill="106CB5"/>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4</w:t>
            </w:r>
          </w:p>
        </w:tc>
        <w:tc>
          <w:tcPr>
            <w:tcW w:w="497" w:type="pct"/>
            <w:tcBorders>
              <w:bottom w:val="single" w:sz="12" w:space="0" w:color="FFFFFF"/>
            </w:tcBorders>
            <w:shd w:val="clear" w:color="auto" w:fill="106CB5"/>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5</w:t>
            </w:r>
          </w:p>
        </w:tc>
        <w:tc>
          <w:tcPr>
            <w:tcW w:w="498" w:type="pct"/>
            <w:tcBorders>
              <w:bottom w:val="single" w:sz="12" w:space="0" w:color="FFFFFF"/>
            </w:tcBorders>
            <w:shd w:val="clear" w:color="auto" w:fill="106CB5"/>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6</w:t>
            </w:r>
          </w:p>
        </w:tc>
      </w:tr>
      <w:tr w:rsidR="00873CFB" w:rsidTr="00873C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515"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rPr>
                <w:rFonts w:cs="Times New Roman"/>
                <w:szCs w:val="22"/>
              </w:rPr>
            </w:pPr>
          </w:p>
        </w:tc>
        <w:tc>
          <w:tcPr>
            <w:tcW w:w="498"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9"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7" w:type="pct"/>
            <w:tcBorders>
              <w:top w:val="single" w:sz="12" w:space="0" w:color="FFFFFF"/>
              <w:bottom w:val="single" w:sz="2" w:space="0" w:color="106CB5"/>
            </w:tcBorders>
            <w:shd w:val="clear" w:color="auto" w:fill="FFFFFF"/>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7" w:type="pct"/>
            <w:tcBorders>
              <w:top w:val="single" w:sz="12" w:space="0" w:color="FFFFFF"/>
              <w:bottom w:val="single" w:sz="2" w:space="0" w:color="106CB5"/>
            </w:tcBorders>
            <w:shd w:val="clear" w:color="auto" w:fill="FFFFFF"/>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873CFB" w:rsidTr="00873C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 w:type="pct"/>
            <w:tcBorders>
              <w:top w:val="single" w:sz="2" w:space="0" w:color="106CB5"/>
              <w:bottom w:val="single" w:sz="2" w:space="0" w:color="106CB5"/>
            </w:tcBorders>
            <w:shd w:val="clear" w:color="auto" w:fill="D9D9D9"/>
            <w:noWrap/>
            <w:vAlign w:val="center"/>
          </w:tcPr>
          <w:p w:rsidR="00ED2B37" w:rsidRDefault="00F925DE">
            <w:pPr>
              <w:spacing w:before="40" w:after="40" w:line="240" w:lineRule="auto"/>
              <w:rPr>
                <w:rFonts w:cs="Times New Roman"/>
                <w:szCs w:val="22"/>
              </w:rPr>
            </w:pPr>
            <w:r>
              <w:rPr>
                <w:rFonts w:cs="Times New Roman"/>
                <w:szCs w:val="22"/>
              </w:rPr>
              <w:t xml:space="preserve">Attendance </w:t>
            </w:r>
            <w:r>
              <w:rPr>
                <w:rFonts w:cs="Times New Roman"/>
                <w:szCs w:val="22"/>
              </w:rPr>
              <w:t>Rate (latest year)</w:t>
            </w:r>
          </w:p>
        </w:tc>
        <w:tc>
          <w:tcPr>
            <w:tcW w:w="498" w:type="pct"/>
            <w:tcBorders>
              <w:top w:val="single" w:sz="2" w:space="0" w:color="106CB5"/>
              <w:bottom w:val="single" w:sz="2" w:space="0" w:color="106CB5"/>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92</w:t>
            </w:r>
          </w:p>
        </w:tc>
        <w:tc>
          <w:tcPr>
            <w:tcW w:w="498" w:type="pct"/>
            <w:tcBorders>
              <w:top w:val="single" w:sz="2" w:space="0" w:color="106CB5"/>
              <w:bottom w:val="single" w:sz="2" w:space="0" w:color="106CB5"/>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95</w:t>
            </w:r>
          </w:p>
        </w:tc>
        <w:tc>
          <w:tcPr>
            <w:tcW w:w="498" w:type="pct"/>
            <w:tcBorders>
              <w:top w:val="single" w:sz="2" w:space="0" w:color="106CB5"/>
              <w:bottom w:val="single" w:sz="2" w:space="0" w:color="106CB5"/>
            </w:tcBorders>
            <w:shd w:val="clear" w:color="auto" w:fill="D9D9D9"/>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93</w:t>
            </w:r>
          </w:p>
        </w:tc>
        <w:tc>
          <w:tcPr>
            <w:tcW w:w="499" w:type="pct"/>
            <w:tcBorders>
              <w:top w:val="single" w:sz="2" w:space="0" w:color="106CB5"/>
              <w:bottom w:val="single" w:sz="2" w:space="0" w:color="106CB5"/>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88</w:t>
            </w:r>
          </w:p>
        </w:tc>
        <w:tc>
          <w:tcPr>
            <w:tcW w:w="497" w:type="pct"/>
            <w:tcBorders>
              <w:top w:val="single" w:sz="2" w:space="0" w:color="106CB5"/>
              <w:bottom w:val="single" w:sz="2" w:space="0" w:color="106CB5"/>
            </w:tcBorders>
            <w:shd w:val="clear" w:color="auto" w:fill="D9D9D9"/>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85</w:t>
            </w:r>
          </w:p>
        </w:tc>
        <w:tc>
          <w:tcPr>
            <w:tcW w:w="497" w:type="pct"/>
            <w:tcBorders>
              <w:top w:val="single" w:sz="2" w:space="0" w:color="106CB5"/>
              <w:bottom w:val="single" w:sz="2" w:space="0" w:color="106CB5"/>
            </w:tcBorders>
            <w:shd w:val="clear" w:color="auto" w:fill="D9D9D9"/>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92</w:t>
            </w:r>
          </w:p>
        </w:tc>
        <w:tc>
          <w:tcPr>
            <w:tcW w:w="498" w:type="pct"/>
            <w:tcBorders>
              <w:top w:val="single" w:sz="2" w:space="0" w:color="106CB5"/>
              <w:bottom w:val="single" w:sz="2" w:space="0" w:color="106CB5"/>
            </w:tcBorders>
            <w:shd w:val="clear" w:color="auto" w:fill="D9D9D9"/>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96</w:t>
            </w:r>
          </w:p>
        </w:tc>
      </w:tr>
    </w:tbl>
    <w:p w:rsidR="00ED2B37" w:rsidRDefault="00F925DE" w:rsidP="007C1025">
      <w:pPr>
        <w:pStyle w:val="ESBodyText"/>
        <w:spacing w:after="0" w:line="240" w:lineRule="auto"/>
      </w:pPr>
    </w:p>
    <w:p w:rsidR="00BB2F16" w:rsidRDefault="00F925DE">
      <w:pPr>
        <w:spacing w:after="0" w:line="240" w:lineRule="auto"/>
        <w:rPr>
          <w:rFonts w:eastAsiaTheme="majorEastAsia" w:cstheme="majorBidi"/>
          <w:b/>
          <w:bCs/>
          <w:caps/>
          <w:color w:val="00008B"/>
          <w:sz w:val="20"/>
          <w:szCs w:val="20"/>
          <w:u w:val="single"/>
        </w:rPr>
      </w:pPr>
      <w:r>
        <w:rPr>
          <w:color w:val="00008B"/>
          <w:u w:val="single"/>
        </w:rPr>
        <w:br w:type="page"/>
      </w:r>
    </w:p>
    <w:p w:rsidR="00BB2F16" w:rsidRDefault="00F925DE" w:rsidP="007C1025">
      <w:pPr>
        <w:pStyle w:val="ESHeading2"/>
        <w:spacing w:before="120"/>
        <w:rPr>
          <w:color w:val="00008B"/>
          <w:u w:val="single"/>
        </w:rPr>
      </w:pPr>
    </w:p>
    <w:p w:rsidR="00ED2B37" w:rsidRDefault="00F925DE" w:rsidP="007C1025">
      <w:pPr>
        <w:pStyle w:val="ESHeading2"/>
        <w:spacing w:before="120"/>
        <w:rPr>
          <w:color w:val="00008B"/>
          <w:u w:val="single"/>
        </w:rPr>
      </w:pPr>
      <w:r>
        <w:rPr>
          <w:color w:val="00008B"/>
          <w:u w:val="single"/>
        </w:rPr>
        <w:t>WELLbeing</w:t>
      </w:r>
    </w:p>
    <w:p w:rsidR="00ED2B37" w:rsidRDefault="00F925DE">
      <w:pPr>
        <w:pStyle w:val="ESBodyText"/>
        <w:rPr>
          <w:rFonts w:eastAsiaTheme="majorEastAsia" w:cstheme="majorBidi"/>
          <w:b/>
          <w:bCs/>
          <w:color w:val="00008B"/>
          <w:szCs w:val="20"/>
        </w:rPr>
      </w:pPr>
      <w:r>
        <w:rPr>
          <w:rFonts w:eastAsiaTheme="majorEastAsia" w:cstheme="majorBidi"/>
          <w:b/>
          <w:bCs/>
          <w:color w:val="00008B"/>
          <w:szCs w:val="20"/>
        </w:rPr>
        <w:t>Student Attitudes to School – Sense of Connectedness</w:t>
      </w:r>
    </w:p>
    <w:p w:rsidR="00ED2B37" w:rsidRDefault="00F925DE">
      <w:pPr>
        <w:pStyle w:val="ESBodyText"/>
      </w:pPr>
      <w:r>
        <w:t xml:space="preserve">The percent endorsement on Sense of Connectedness factor, as reported in the Attitudes to School Survey completed annually by Victorian Government </w:t>
      </w:r>
      <w:r>
        <w:t>school students in year levels 4 to 6.</w:t>
      </w:r>
    </w:p>
    <w:p w:rsidR="00ED2B37" w:rsidRDefault="00F925DE">
      <w:pPr>
        <w:pStyle w:val="ESBodyText"/>
      </w:pPr>
      <w:r>
        <w:t>Percent endorsement indicates the percent of positive responses (agree or strongly agree).</w:t>
      </w:r>
    </w:p>
    <w:tbl>
      <w:tblPr>
        <w:tblStyle w:val="GridTable2-Accent61"/>
        <w:tblW w:w="4843" w:type="pct"/>
        <w:jc w:val="center"/>
        <w:tblLook w:val="04A0" w:firstRow="1" w:lastRow="0" w:firstColumn="1" w:lastColumn="0" w:noHBand="0" w:noVBand="1"/>
        <w:tblCaption w:val="Attitude to schools survey - connectedness to schools"/>
      </w:tblPr>
      <w:tblGrid>
        <w:gridCol w:w="3816"/>
        <w:gridCol w:w="1307"/>
        <w:gridCol w:w="1308"/>
        <w:gridCol w:w="1308"/>
        <w:gridCol w:w="1383"/>
        <w:gridCol w:w="1306"/>
      </w:tblGrid>
      <w:tr w:rsidR="00873CFB" w:rsidTr="00873CFB">
        <w:trPr>
          <w:cnfStyle w:val="100000000000" w:firstRow="1" w:lastRow="0" w:firstColumn="0" w:lastColumn="0" w:oddVBand="0" w:evenVBand="0" w:oddHBand="0" w:evenHBand="0" w:firstRowFirstColumn="0" w:firstRowLastColumn="0" w:lastRowFirstColumn="0" w:lastRowLastColumn="0"/>
          <w:trHeight w:val="706"/>
          <w:tblHeader/>
          <w:jc w:val="center"/>
        </w:trPr>
        <w:tc>
          <w:tcPr>
            <w:cnfStyle w:val="001000000000" w:firstRow="0" w:lastRow="0" w:firstColumn="1" w:lastColumn="0" w:oddVBand="0" w:evenVBand="0" w:oddHBand="0" w:evenHBand="0" w:firstRowFirstColumn="0" w:firstRowLastColumn="0" w:lastRowFirstColumn="0" w:lastRowLastColumn="0"/>
            <w:tcW w:w="1830" w:type="pct"/>
            <w:tcBorders>
              <w:bottom w:val="single" w:sz="12" w:space="0" w:color="FFFFFF"/>
            </w:tcBorders>
            <w:shd w:val="clear" w:color="auto" w:fill="106CB5"/>
            <w:vAlign w:val="center"/>
            <w:hideMark/>
          </w:tcPr>
          <w:p w:rsidR="00ED2B37" w:rsidRDefault="00F925DE">
            <w:pPr>
              <w:spacing w:before="40" w:after="40" w:line="240" w:lineRule="auto"/>
              <w:rPr>
                <w:rFonts w:cs="Times New Roman"/>
                <w:color w:val="FFFFFF"/>
                <w:szCs w:val="22"/>
              </w:rPr>
            </w:pPr>
            <w:r>
              <w:t xml:space="preserve"> </w:t>
            </w:r>
            <w:r>
              <w:rPr>
                <w:rFonts w:cs="Times New Roman"/>
                <w:color w:val="FFFFFF"/>
                <w:szCs w:val="22"/>
              </w:rPr>
              <w:t>Sense of Connectedness</w:t>
            </w:r>
          </w:p>
        </w:tc>
        <w:tc>
          <w:tcPr>
            <w:tcW w:w="627"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27"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27" w:type="pct"/>
            <w:tcBorders>
              <w:bottom w:val="single" w:sz="12" w:space="0" w:color="FFFFFF"/>
            </w:tcBorders>
            <w:shd w:val="clear" w:color="auto" w:fill="106CB5"/>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663"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26" w:type="pct"/>
            <w:tcBorders>
              <w:bottom w:val="single" w:sz="12" w:space="0" w:color="FFFFFF"/>
            </w:tcBorders>
            <w:shd w:val="clear" w:color="auto" w:fill="106CB5"/>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Similar School Comparison</w:t>
            </w:r>
          </w:p>
        </w:tc>
      </w:tr>
      <w:tr w:rsidR="00873CFB" w:rsidTr="00873C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rPr>
                <w:rFonts w:cs="Times New Roman"/>
                <w:szCs w:val="22"/>
              </w:rPr>
            </w:pPr>
          </w:p>
        </w:tc>
        <w:tc>
          <w:tcPr>
            <w:tcW w:w="627"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7"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7" w:type="pct"/>
            <w:tcBorders>
              <w:top w:val="single" w:sz="12" w:space="0" w:color="FFFFFF"/>
              <w:bottom w:val="single" w:sz="2" w:space="0" w:color="106CB5"/>
            </w:tcBorders>
            <w:shd w:val="clear" w:color="auto" w:fill="FFFFFF"/>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63"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6" w:type="pct"/>
            <w:tcBorders>
              <w:top w:val="single" w:sz="12" w:space="0" w:color="FFFFFF"/>
              <w:bottom w:val="single" w:sz="2" w:space="0" w:color="106CB5"/>
            </w:tcBorders>
            <w:shd w:val="clear" w:color="auto" w:fill="FFFFFF"/>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873CFB" w:rsidTr="00873C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2" w:space="0" w:color="106CB5"/>
              <w:bottom w:val="single" w:sz="2" w:space="0" w:color="126CB5"/>
            </w:tcBorders>
            <w:shd w:val="clear" w:color="auto" w:fill="D9D9D9" w:themeFill="background1" w:themeFillShade="D9"/>
            <w:noWrap/>
            <w:vAlign w:val="center"/>
          </w:tcPr>
          <w:p w:rsidR="00ED2B37" w:rsidRDefault="00F925DE">
            <w:pPr>
              <w:spacing w:before="40" w:after="40" w:line="240" w:lineRule="auto"/>
              <w:rPr>
                <w:rFonts w:cs="Times New Roman"/>
                <w:szCs w:val="22"/>
              </w:rPr>
            </w:pPr>
            <w:r>
              <w:rPr>
                <w:rFonts w:cs="Times New Roman"/>
                <w:szCs w:val="22"/>
              </w:rPr>
              <w:t>Percent endorsement (latest year)</w:t>
            </w:r>
          </w:p>
        </w:tc>
        <w:tc>
          <w:tcPr>
            <w:tcW w:w="627" w:type="pct"/>
            <w:tcBorders>
              <w:top w:val="single" w:sz="2" w:space="0" w:color="106CB5"/>
              <w:bottom w:val="single" w:sz="2" w:space="0" w:color="126CB5"/>
            </w:tcBorders>
            <w:shd w:val="clear" w:color="auto" w:fill="D9D9D9" w:themeFill="background1" w:themeFillShade="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78.5</w:t>
            </w:r>
          </w:p>
        </w:tc>
        <w:tc>
          <w:tcPr>
            <w:tcW w:w="627" w:type="pct"/>
            <w:tcBorders>
              <w:top w:val="single" w:sz="2" w:space="0" w:color="106CB5"/>
              <w:bottom w:val="single" w:sz="2" w:space="0" w:color="126CB5"/>
            </w:tcBorders>
            <w:shd w:val="clear" w:color="auto" w:fill="D9D9D9" w:themeFill="background1" w:themeFillShade="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80.9</w:t>
            </w:r>
          </w:p>
        </w:tc>
        <w:tc>
          <w:tcPr>
            <w:tcW w:w="627" w:type="pct"/>
            <w:tcBorders>
              <w:top w:val="single" w:sz="2" w:space="0" w:color="106CB5"/>
              <w:bottom w:val="single" w:sz="2" w:space="0" w:color="126CB5"/>
            </w:tcBorders>
            <w:shd w:val="clear" w:color="auto" w:fill="D9D9D9" w:themeFill="background1" w:themeFillShade="D9"/>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71.8</w:t>
            </w:r>
          </w:p>
        </w:tc>
        <w:tc>
          <w:tcPr>
            <w:tcW w:w="663" w:type="pct"/>
            <w:tcBorders>
              <w:top w:val="single" w:sz="2" w:space="0" w:color="106CB5"/>
              <w:bottom w:val="single" w:sz="2" w:space="0" w:color="126CB5"/>
            </w:tcBorders>
            <w:shd w:val="clear" w:color="auto" w:fill="D9D9D9" w:themeFill="background1" w:themeFillShade="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88.9</w:t>
            </w:r>
          </w:p>
        </w:tc>
        <w:tc>
          <w:tcPr>
            <w:tcW w:w="626" w:type="pct"/>
            <w:tcBorders>
              <w:top w:val="single" w:sz="2" w:space="0" w:color="106CB5"/>
              <w:bottom w:val="single" w:sz="2" w:space="0" w:color="126CB5"/>
            </w:tcBorders>
            <w:shd w:val="clear" w:color="auto" w:fill="D9D9D9" w:themeFill="background1" w:themeFillShade="D9"/>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Below</w:t>
            </w:r>
          </w:p>
        </w:tc>
      </w:tr>
      <w:tr w:rsidR="00873CFB" w:rsidTr="00873CFB">
        <w:trPr>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2" w:space="0" w:color="126CB5"/>
              <w:bottom w:val="single" w:sz="2" w:space="0" w:color="106CB5"/>
            </w:tcBorders>
            <w:shd w:val="clear" w:color="auto" w:fill="FFFFFF" w:themeFill="background1"/>
            <w:noWrap/>
            <w:vAlign w:val="center"/>
          </w:tcPr>
          <w:p w:rsidR="00ED2B37" w:rsidRDefault="00F925DE" w:rsidP="005A2650">
            <w:pPr>
              <w:spacing w:before="40" w:after="40" w:line="240" w:lineRule="auto"/>
              <w:rPr>
                <w:rFonts w:cs="Times New Roman"/>
                <w:szCs w:val="22"/>
              </w:rPr>
            </w:pPr>
            <w:r>
              <w:rPr>
                <w:rFonts w:cs="Times New Roman"/>
                <w:szCs w:val="22"/>
              </w:rPr>
              <w:t>Percent endorsement (3 year average)</w:t>
            </w:r>
          </w:p>
        </w:tc>
        <w:tc>
          <w:tcPr>
            <w:tcW w:w="627" w:type="pct"/>
            <w:tcBorders>
              <w:top w:val="single" w:sz="2" w:space="0" w:color="126CB5"/>
              <w:bottom w:val="single" w:sz="2" w:space="0" w:color="106CB5"/>
            </w:tcBorders>
            <w:shd w:val="clear" w:color="auto" w:fill="FFFFFF" w:themeFill="background1"/>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 xml:space="preserve"> 71.6</w:t>
            </w:r>
          </w:p>
        </w:tc>
        <w:tc>
          <w:tcPr>
            <w:tcW w:w="627" w:type="pct"/>
            <w:tcBorders>
              <w:top w:val="single" w:sz="2" w:space="0" w:color="126CB5"/>
              <w:bottom w:val="single" w:sz="2" w:space="0" w:color="106CB5"/>
            </w:tcBorders>
            <w:shd w:val="clear" w:color="auto" w:fill="FFFFFF" w:themeFill="background1"/>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 xml:space="preserve"> 81.4</w:t>
            </w:r>
          </w:p>
        </w:tc>
        <w:tc>
          <w:tcPr>
            <w:tcW w:w="627" w:type="pct"/>
            <w:tcBorders>
              <w:top w:val="single" w:sz="2" w:space="0" w:color="126CB5"/>
              <w:bottom w:val="single" w:sz="2" w:space="0" w:color="106CB5"/>
            </w:tcBorders>
            <w:shd w:val="clear" w:color="auto" w:fill="FFFFFF" w:themeFill="background1"/>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 xml:space="preserve"> 73.9</w:t>
            </w:r>
          </w:p>
        </w:tc>
        <w:tc>
          <w:tcPr>
            <w:tcW w:w="663" w:type="pct"/>
            <w:tcBorders>
              <w:top w:val="single" w:sz="2" w:space="0" w:color="126CB5"/>
              <w:bottom w:val="single" w:sz="2" w:space="0" w:color="106CB5"/>
            </w:tcBorders>
            <w:shd w:val="clear" w:color="auto" w:fill="FFFFFF" w:themeFill="background1"/>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 xml:space="preserve"> 88.1</w:t>
            </w:r>
          </w:p>
        </w:tc>
        <w:tc>
          <w:tcPr>
            <w:tcW w:w="626" w:type="pct"/>
            <w:tcBorders>
              <w:top w:val="single" w:sz="2" w:space="0" w:color="126CB5"/>
              <w:bottom w:val="single" w:sz="2" w:space="0" w:color="106CB5"/>
            </w:tcBorders>
            <w:shd w:val="clear" w:color="auto" w:fill="FFFFFF" w:themeFill="background1"/>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w:t>
            </w:r>
          </w:p>
        </w:tc>
      </w:tr>
    </w:tbl>
    <w:p w:rsidR="00ED2B37" w:rsidRDefault="00F925DE">
      <w:pPr>
        <w:spacing w:after="0" w:line="240" w:lineRule="auto"/>
      </w:pPr>
    </w:p>
    <w:p w:rsidR="00ED2B37" w:rsidRDefault="00F925DE">
      <w:pPr>
        <w:pStyle w:val="ESBodyText"/>
        <w:rPr>
          <w:rFonts w:eastAsiaTheme="majorEastAsia" w:cstheme="majorBidi"/>
          <w:bCs/>
          <w:szCs w:val="20"/>
        </w:rPr>
      </w:pPr>
    </w:p>
    <w:p w:rsidR="00ED2B37" w:rsidRDefault="00F925DE">
      <w:pPr>
        <w:pStyle w:val="ESBodyText"/>
        <w:rPr>
          <w:rFonts w:eastAsiaTheme="majorEastAsia" w:cstheme="majorBidi"/>
          <w:b/>
          <w:bCs/>
          <w:color w:val="00008B"/>
          <w:szCs w:val="20"/>
        </w:rPr>
      </w:pPr>
      <w:r>
        <w:rPr>
          <w:rFonts w:eastAsiaTheme="majorEastAsia" w:cstheme="majorBidi"/>
          <w:b/>
          <w:bCs/>
          <w:color w:val="00008B"/>
          <w:szCs w:val="20"/>
        </w:rPr>
        <w:t>Student Attitudes to School – Management of Bullying</w:t>
      </w:r>
    </w:p>
    <w:p w:rsidR="00ED2B37" w:rsidRDefault="00F925DE">
      <w:pPr>
        <w:pStyle w:val="ESBodyText"/>
        <w:rPr>
          <w:rFonts w:eastAsiaTheme="majorEastAsia" w:cstheme="majorBidi"/>
          <w:bCs/>
          <w:szCs w:val="20"/>
        </w:rPr>
      </w:pPr>
      <w:r>
        <w:t xml:space="preserve">The percent endorsement on Management of </w:t>
      </w:r>
      <w:r>
        <w:t>Bullying factor, as reported in the Attitudes to School Survey completed annually by Victorian Government school students in year levels 4 to 6.</w:t>
      </w:r>
    </w:p>
    <w:p w:rsidR="00ED2B37" w:rsidRDefault="00F925DE">
      <w:pPr>
        <w:pStyle w:val="ESBodyText"/>
      </w:pPr>
      <w:r>
        <w:t>Percent endorsement indicates the percent of positive responses (agree or strongly agree).</w:t>
      </w:r>
    </w:p>
    <w:tbl>
      <w:tblPr>
        <w:tblStyle w:val="GridTable2-Accent61"/>
        <w:tblW w:w="4843" w:type="pct"/>
        <w:jc w:val="center"/>
        <w:tblLook w:val="04A0" w:firstRow="1" w:lastRow="0" w:firstColumn="1" w:lastColumn="0" w:noHBand="0" w:noVBand="1"/>
        <w:tblCaption w:val="Attitude to schools survey - student perception of safety"/>
      </w:tblPr>
      <w:tblGrid>
        <w:gridCol w:w="3800"/>
        <w:gridCol w:w="1293"/>
        <w:gridCol w:w="1293"/>
        <w:gridCol w:w="1293"/>
        <w:gridCol w:w="1460"/>
        <w:gridCol w:w="1289"/>
      </w:tblGrid>
      <w:tr w:rsidR="00873CFB" w:rsidTr="00873CFB">
        <w:trPr>
          <w:cnfStyle w:val="100000000000" w:firstRow="1" w:lastRow="0" w:firstColumn="0" w:lastColumn="0" w:oddVBand="0" w:evenVBand="0" w:oddHBand="0" w:evenHBand="0" w:firstRowFirstColumn="0" w:firstRowLastColumn="0" w:lastRowFirstColumn="0" w:lastRowLastColumn="0"/>
          <w:trHeight w:val="661"/>
          <w:tblHeader/>
          <w:jc w:val="center"/>
        </w:trPr>
        <w:tc>
          <w:tcPr>
            <w:cnfStyle w:val="001000000000" w:firstRow="0" w:lastRow="0" w:firstColumn="1" w:lastColumn="0" w:oddVBand="0" w:evenVBand="0" w:oddHBand="0" w:evenHBand="0" w:firstRowFirstColumn="0" w:firstRowLastColumn="0" w:lastRowFirstColumn="0" w:lastRowLastColumn="0"/>
            <w:tcW w:w="1822" w:type="pct"/>
            <w:tcBorders>
              <w:bottom w:val="single" w:sz="12" w:space="0" w:color="FFFFFF"/>
            </w:tcBorders>
            <w:shd w:val="clear" w:color="auto" w:fill="106CB5"/>
            <w:vAlign w:val="center"/>
            <w:hideMark/>
          </w:tcPr>
          <w:p w:rsidR="00ED2B37" w:rsidRDefault="00F925DE">
            <w:pPr>
              <w:spacing w:before="40" w:after="40" w:line="240" w:lineRule="auto"/>
              <w:rPr>
                <w:rFonts w:cs="Times New Roman"/>
                <w:color w:val="FFFFFF"/>
                <w:szCs w:val="22"/>
              </w:rPr>
            </w:pPr>
            <w:r>
              <w:t xml:space="preserve"> </w:t>
            </w:r>
            <w:r>
              <w:rPr>
                <w:rFonts w:cs="Times New Roman"/>
                <w:color w:val="FFFFFF"/>
                <w:szCs w:val="22"/>
              </w:rPr>
              <w:t>Management of Bully</w:t>
            </w:r>
            <w:r>
              <w:rPr>
                <w:rFonts w:cs="Times New Roman"/>
                <w:color w:val="FFFFFF"/>
                <w:szCs w:val="22"/>
              </w:rPr>
              <w:t>ing</w:t>
            </w:r>
          </w:p>
        </w:tc>
        <w:tc>
          <w:tcPr>
            <w:tcW w:w="620"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20"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20" w:type="pct"/>
            <w:tcBorders>
              <w:bottom w:val="single" w:sz="12" w:space="0" w:color="FFFFFF"/>
            </w:tcBorders>
            <w:shd w:val="clear" w:color="auto" w:fill="106CB5"/>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700" w:type="pct"/>
            <w:tcBorders>
              <w:bottom w:val="single" w:sz="12" w:space="0" w:color="FFFFFF"/>
            </w:tcBorders>
            <w:shd w:val="clear" w:color="auto" w:fill="106CB5"/>
            <w:vAlign w:val="center"/>
            <w:hideMark/>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18" w:type="pct"/>
            <w:tcBorders>
              <w:bottom w:val="single" w:sz="12" w:space="0" w:color="FFFFFF"/>
            </w:tcBorders>
            <w:shd w:val="clear" w:color="auto" w:fill="106CB5"/>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Similar School Comparison</w:t>
            </w:r>
          </w:p>
        </w:tc>
      </w:tr>
      <w:tr w:rsidR="00873CFB" w:rsidTr="00873C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22"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rPr>
                <w:rFonts w:cs="Times New Roman"/>
                <w:szCs w:val="22"/>
              </w:rPr>
            </w:pPr>
          </w:p>
        </w:tc>
        <w:tc>
          <w:tcPr>
            <w:tcW w:w="620"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0"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0" w:type="pct"/>
            <w:tcBorders>
              <w:top w:val="single" w:sz="12" w:space="0" w:color="FFFFFF"/>
              <w:bottom w:val="single" w:sz="2" w:space="0" w:color="106CB5"/>
            </w:tcBorders>
            <w:shd w:val="clear" w:color="auto" w:fill="FFFFFF"/>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00" w:type="pct"/>
            <w:tcBorders>
              <w:top w:val="single" w:sz="12" w:space="0" w:color="FFFFFF"/>
              <w:bottom w:val="single" w:sz="2" w:space="0" w:color="106CB5"/>
            </w:tcBorders>
            <w:shd w:val="clear" w:color="auto" w:fill="FFFFFF"/>
            <w:noWrap/>
            <w:vAlign w:val="center"/>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18" w:type="pct"/>
            <w:tcBorders>
              <w:top w:val="single" w:sz="12" w:space="0" w:color="FFFFFF"/>
              <w:bottom w:val="single" w:sz="2" w:space="0" w:color="106CB5"/>
            </w:tcBorders>
            <w:shd w:val="clear" w:color="auto" w:fill="FFFFFF"/>
          </w:tcPr>
          <w:p w:rsidR="00ED2B37" w:rsidRDefault="00F925DE">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873CFB" w:rsidTr="00873C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pct"/>
            <w:tcBorders>
              <w:top w:val="single" w:sz="2" w:space="0" w:color="106CB5"/>
              <w:bottom w:val="single" w:sz="2" w:space="0" w:color="106CB5"/>
            </w:tcBorders>
            <w:shd w:val="clear" w:color="auto" w:fill="D9D9D9" w:themeFill="background1" w:themeFillShade="D9"/>
            <w:noWrap/>
            <w:vAlign w:val="center"/>
          </w:tcPr>
          <w:p w:rsidR="00ED2B37" w:rsidRDefault="00F925DE">
            <w:pPr>
              <w:spacing w:before="40" w:after="40" w:line="240" w:lineRule="auto"/>
              <w:rPr>
                <w:rFonts w:cs="Times New Roman"/>
                <w:szCs w:val="22"/>
              </w:rPr>
            </w:pPr>
            <w:r>
              <w:rPr>
                <w:rFonts w:cs="Times New Roman"/>
                <w:szCs w:val="22"/>
              </w:rPr>
              <w:t>Percent endorsement (latest year)</w:t>
            </w:r>
          </w:p>
        </w:tc>
        <w:tc>
          <w:tcPr>
            <w:tcW w:w="620" w:type="pct"/>
            <w:tcBorders>
              <w:top w:val="single" w:sz="2" w:space="0" w:color="106CB5"/>
              <w:bottom w:val="single" w:sz="2" w:space="0" w:color="106CB5"/>
            </w:tcBorders>
            <w:shd w:val="clear" w:color="auto" w:fill="D9D9D9" w:themeFill="background1" w:themeFillShade="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89.7</w:t>
            </w:r>
          </w:p>
        </w:tc>
        <w:tc>
          <w:tcPr>
            <w:tcW w:w="620" w:type="pct"/>
            <w:tcBorders>
              <w:top w:val="single" w:sz="2" w:space="0" w:color="106CB5"/>
              <w:bottom w:val="single" w:sz="2" w:space="0" w:color="106CB5"/>
            </w:tcBorders>
            <w:shd w:val="clear" w:color="auto" w:fill="D9D9D9" w:themeFill="background1" w:themeFillShade="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81.6</w:t>
            </w:r>
          </w:p>
        </w:tc>
        <w:tc>
          <w:tcPr>
            <w:tcW w:w="620" w:type="pct"/>
            <w:tcBorders>
              <w:top w:val="single" w:sz="2" w:space="0" w:color="106CB5"/>
              <w:bottom w:val="single" w:sz="2" w:space="0" w:color="106CB5"/>
            </w:tcBorders>
            <w:shd w:val="clear" w:color="auto" w:fill="D9D9D9" w:themeFill="background1" w:themeFillShade="D9"/>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72.2</w:t>
            </w:r>
          </w:p>
        </w:tc>
        <w:tc>
          <w:tcPr>
            <w:tcW w:w="700" w:type="pct"/>
            <w:tcBorders>
              <w:top w:val="single" w:sz="2" w:space="0" w:color="106CB5"/>
              <w:bottom w:val="single" w:sz="2" w:space="0" w:color="106CB5"/>
            </w:tcBorders>
            <w:shd w:val="clear" w:color="auto" w:fill="D9D9D9" w:themeFill="background1" w:themeFillShade="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 xml:space="preserve"> 90.0</w:t>
            </w:r>
          </w:p>
        </w:tc>
        <w:tc>
          <w:tcPr>
            <w:tcW w:w="618" w:type="pct"/>
            <w:tcBorders>
              <w:top w:val="single" w:sz="2" w:space="0" w:color="106CB5"/>
              <w:bottom w:val="single" w:sz="2" w:space="0" w:color="106CB5"/>
            </w:tcBorders>
            <w:shd w:val="clear" w:color="auto" w:fill="D9D9D9" w:themeFill="background1" w:themeFillShade="D9"/>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Similar</w:t>
            </w:r>
          </w:p>
        </w:tc>
      </w:tr>
      <w:tr w:rsidR="00873CFB" w:rsidTr="00873CFB">
        <w:tblPrEx>
          <w:jc w:val="left"/>
        </w:tblPrEx>
        <w:tc>
          <w:tcPr>
            <w:cnfStyle w:val="001000000000" w:firstRow="0" w:lastRow="0" w:firstColumn="1" w:lastColumn="0" w:oddVBand="0" w:evenVBand="0" w:oddHBand="0" w:evenHBand="0" w:firstRowFirstColumn="0" w:firstRowLastColumn="0" w:lastRowFirstColumn="0" w:lastRowLastColumn="0"/>
            <w:tcW w:w="1822" w:type="pct"/>
            <w:tcBorders>
              <w:top w:val="single" w:sz="2" w:space="0" w:color="106CB5"/>
              <w:bottom w:val="single" w:sz="2" w:space="0" w:color="106CB5"/>
            </w:tcBorders>
            <w:noWrap/>
          </w:tcPr>
          <w:p w:rsidR="00ED2B37" w:rsidRDefault="00F925DE" w:rsidP="005A2650">
            <w:pPr>
              <w:spacing w:before="40" w:after="40" w:line="240" w:lineRule="auto"/>
              <w:rPr>
                <w:rFonts w:cs="Times New Roman"/>
                <w:szCs w:val="22"/>
              </w:rPr>
            </w:pPr>
            <w:r>
              <w:rPr>
                <w:rFonts w:cs="Times New Roman"/>
                <w:szCs w:val="22"/>
              </w:rPr>
              <w:t>Percent endorsement (3 year average)</w:t>
            </w:r>
          </w:p>
        </w:tc>
        <w:tc>
          <w:tcPr>
            <w:tcW w:w="620" w:type="pct"/>
            <w:tcBorders>
              <w:top w:val="single" w:sz="2" w:space="0" w:color="106CB5"/>
              <w:bottom w:val="single" w:sz="2" w:space="0" w:color="106CB5"/>
            </w:tcBorders>
            <w:noWrap/>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 xml:space="preserve"> 88.0</w:t>
            </w:r>
          </w:p>
        </w:tc>
        <w:tc>
          <w:tcPr>
            <w:tcW w:w="620" w:type="pct"/>
            <w:tcBorders>
              <w:top w:val="single" w:sz="2" w:space="0" w:color="106CB5"/>
              <w:bottom w:val="single" w:sz="2" w:space="0" w:color="106CB5"/>
            </w:tcBorders>
            <w:noWrap/>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 xml:space="preserve"> 81.7</w:t>
            </w:r>
          </w:p>
        </w:tc>
        <w:tc>
          <w:tcPr>
            <w:tcW w:w="620" w:type="pct"/>
            <w:tcBorders>
              <w:top w:val="single" w:sz="2" w:space="0" w:color="106CB5"/>
              <w:bottom w:val="single" w:sz="2" w:space="0" w:color="106CB5"/>
            </w:tcBorders>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 xml:space="preserve"> 74.4</w:t>
            </w:r>
          </w:p>
        </w:tc>
        <w:tc>
          <w:tcPr>
            <w:tcW w:w="700" w:type="pct"/>
            <w:tcBorders>
              <w:top w:val="single" w:sz="2" w:space="0" w:color="106CB5"/>
              <w:bottom w:val="single" w:sz="2" w:space="0" w:color="106CB5"/>
            </w:tcBorders>
            <w:noWrap/>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 xml:space="preserve"> 89.1</w:t>
            </w:r>
          </w:p>
        </w:tc>
        <w:tc>
          <w:tcPr>
            <w:tcW w:w="618" w:type="pct"/>
            <w:tcBorders>
              <w:top w:val="single" w:sz="2" w:space="0" w:color="106CB5"/>
              <w:bottom w:val="single" w:sz="2" w:space="0" w:color="106CB5"/>
            </w:tcBorders>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w:t>
            </w:r>
          </w:p>
        </w:tc>
      </w:tr>
    </w:tbl>
    <w:p w:rsidR="00ED2B37" w:rsidRDefault="00F925DE">
      <w:pPr>
        <w:spacing w:after="0" w:line="240" w:lineRule="auto"/>
      </w:pPr>
    </w:p>
    <w:p w:rsidR="00ED2B37" w:rsidRDefault="00F925DE">
      <w:pPr>
        <w:spacing w:after="0" w:line="240" w:lineRule="auto"/>
      </w:pPr>
      <w:r>
        <w:br w:type="page"/>
      </w:r>
    </w:p>
    <w:p w:rsidR="00ED2B37" w:rsidRDefault="00F925DE">
      <w:pPr>
        <w:spacing w:after="0" w:line="240" w:lineRule="auto"/>
        <w:jc w:val="center"/>
        <w:rPr>
          <w:rFonts w:eastAsia="MS Gothic" w:cs="Times New Roman"/>
          <w:b/>
          <w:spacing w:val="5"/>
          <w:kern w:val="28"/>
          <w:sz w:val="44"/>
          <w:szCs w:val="52"/>
        </w:rPr>
      </w:pPr>
      <w:r>
        <w:rPr>
          <w:rFonts w:eastAsia="MS Gothic" w:cs="Times New Roman"/>
          <w:b/>
          <w:spacing w:val="5"/>
          <w:kern w:val="28"/>
          <w:sz w:val="44"/>
          <w:szCs w:val="52"/>
        </w:rPr>
        <w:t>Financial Performance and Position</w:t>
      </w:r>
    </w:p>
    <w:p w:rsidR="00ED2B37" w:rsidRDefault="00F925DE">
      <w:pPr>
        <w:keepNext/>
        <w:keepLines/>
        <w:spacing w:before="360"/>
        <w:outlineLvl w:val="0"/>
        <w:rPr>
          <w:rFonts w:eastAsia="MS Gothic" w:cs="Times New Roman"/>
          <w:b/>
          <w:bCs/>
          <w:caps/>
          <w:color w:val="00008B"/>
          <w:sz w:val="20"/>
          <w:szCs w:val="20"/>
          <w:u w:val="single"/>
        </w:rPr>
      </w:pPr>
      <w:r>
        <w:rPr>
          <w:rFonts w:eastAsia="MS Gothic" w:cs="Times New Roman"/>
          <w:b/>
          <w:bCs/>
          <w:caps/>
          <w:color w:val="00008B"/>
          <w:sz w:val="20"/>
          <w:szCs w:val="20"/>
          <w:u w:val="single"/>
        </w:rPr>
        <w:t>Financial Performance - Operating Statement Summary for the year ending 31 December, 2019</w:t>
      </w:r>
    </w:p>
    <w:tbl>
      <w:tblPr>
        <w:tblStyle w:val="GridTable2-Accent6121"/>
        <w:tblW w:w="2876" w:type="pct"/>
        <w:jc w:val="center"/>
        <w:tblLook w:val="04A0" w:firstRow="1" w:lastRow="0" w:firstColumn="1" w:lastColumn="0" w:noHBand="0" w:noVBand="1"/>
        <w:tblCaption w:val="FInance - Revenue Table"/>
      </w:tblPr>
      <w:tblGrid>
        <w:gridCol w:w="4428"/>
        <w:gridCol w:w="1765"/>
      </w:tblGrid>
      <w:tr w:rsidR="00873CFB" w:rsidTr="00873CFB">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106CB5"/>
            <w:vAlign w:val="center"/>
            <w:hideMark/>
          </w:tcPr>
          <w:p w:rsidR="00ED2B37" w:rsidRDefault="00F925DE">
            <w:pPr>
              <w:spacing w:before="40" w:after="40" w:line="240" w:lineRule="auto"/>
              <w:rPr>
                <w:rFonts w:eastAsia="MS Mincho" w:cs="Times New Roman"/>
                <w:color w:val="FFFFFF"/>
                <w:szCs w:val="22"/>
              </w:rPr>
            </w:pPr>
            <w:r>
              <w:rPr>
                <w:rFonts w:eastAsia="MS Mincho" w:cs="Times New Roman"/>
                <w:b w:val="0"/>
                <w:color w:val="FFFFFF"/>
                <w:szCs w:val="22"/>
              </w:rPr>
              <w:t>Revenue</w:t>
            </w:r>
          </w:p>
        </w:tc>
        <w:tc>
          <w:tcPr>
            <w:tcW w:w="1425" w:type="pct"/>
            <w:shd w:val="clear" w:color="auto" w:fill="106CB5"/>
            <w:vAlign w:val="center"/>
            <w:hideMark/>
          </w:tcPr>
          <w:p w:rsidR="00ED2B37" w:rsidRDefault="00F925D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rPr>
            </w:pPr>
            <w:r>
              <w:rPr>
                <w:rFonts w:eastAsia="MS Mincho" w:cs="Times New Roman"/>
                <w:b w:val="0"/>
                <w:color w:val="FFFFFF"/>
                <w:szCs w:val="22"/>
              </w:rPr>
              <w:t>Actual</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12" w:space="0" w:color="FFFFFF"/>
              <w:bottom w:val="nil"/>
              <w:right w:val="single" w:sz="4" w:space="0" w:color="FFFFFF"/>
            </w:tcBorders>
            <w:shd w:val="clear" w:color="auto" w:fill="D9D9D9"/>
            <w:noWrap/>
            <w:vAlign w:val="center"/>
            <w:hideMark/>
          </w:tcPr>
          <w:p w:rsidR="00ED2B37" w:rsidRDefault="00F925DE">
            <w:pPr>
              <w:spacing w:before="40" w:after="40" w:line="240" w:lineRule="auto"/>
              <w:rPr>
                <w:rFonts w:eastAsia="MS Mincho" w:cs="Times New Roman"/>
                <w:szCs w:val="22"/>
              </w:rPr>
            </w:pPr>
            <w:r>
              <w:rPr>
                <w:rFonts w:eastAsia="MS Mincho" w:cs="Times New Roman"/>
                <w:b w:val="0"/>
                <w:szCs w:val="22"/>
              </w:rPr>
              <w:t>Student Resource Package</w:t>
            </w:r>
          </w:p>
        </w:tc>
        <w:tc>
          <w:tcPr>
            <w:tcW w:w="1425" w:type="pct"/>
            <w:tcBorders>
              <w:top w:val="single" w:sz="12" w:space="0" w:color="FFFFFF"/>
              <w:left w:val="single" w:sz="4" w:space="0" w:color="FFFFFF"/>
              <w:bottom w:val="nil"/>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$396,590</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noWrap/>
            <w:vAlign w:val="center"/>
            <w:hideMark/>
          </w:tcPr>
          <w:p w:rsidR="00ED2B37" w:rsidRDefault="00F925DE">
            <w:pPr>
              <w:spacing w:before="40" w:after="40" w:line="240" w:lineRule="auto"/>
              <w:rPr>
                <w:rFonts w:eastAsia="MS Mincho" w:cs="Times New Roman"/>
                <w:szCs w:val="22"/>
              </w:rPr>
            </w:pPr>
            <w:r>
              <w:rPr>
                <w:rFonts w:eastAsia="MS Mincho" w:cs="Times New Roman"/>
                <w:b w:val="0"/>
                <w:szCs w:val="22"/>
              </w:rPr>
              <w:t>Government Provided DET Grants</w:t>
            </w:r>
          </w:p>
        </w:tc>
        <w:tc>
          <w:tcPr>
            <w:tcW w:w="1425" w:type="pct"/>
            <w:tcBorders>
              <w:top w:val="nil"/>
              <w:left w:val="single" w:sz="4" w:space="0" w:color="FFFFFF"/>
              <w:bottom w:val="nil"/>
            </w:tcBorders>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$49,634</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shd w:val="clear" w:color="auto" w:fill="D9D9D9"/>
            <w:noWrap/>
            <w:vAlign w:val="center"/>
            <w:hideMark/>
          </w:tcPr>
          <w:p w:rsidR="00ED2B37" w:rsidRDefault="00F925DE">
            <w:pPr>
              <w:spacing w:before="40" w:after="40" w:line="240" w:lineRule="auto"/>
              <w:rPr>
                <w:rFonts w:eastAsia="MS Mincho" w:cs="Times New Roman"/>
                <w:szCs w:val="22"/>
              </w:rPr>
            </w:pPr>
            <w:r>
              <w:rPr>
                <w:rFonts w:eastAsia="MS Mincho" w:cs="Times New Roman"/>
                <w:b w:val="0"/>
                <w:szCs w:val="22"/>
              </w:rPr>
              <w:t xml:space="preserve">Government Grants </w:t>
            </w:r>
            <w:r>
              <w:rPr>
                <w:rFonts w:eastAsia="MS Mincho" w:cs="Times New Roman"/>
                <w:b w:val="0"/>
                <w:szCs w:val="22"/>
              </w:rPr>
              <w:t>Commonwealth</w:t>
            </w:r>
          </w:p>
        </w:tc>
        <w:tc>
          <w:tcPr>
            <w:tcW w:w="1425" w:type="pct"/>
            <w:tcBorders>
              <w:top w:val="nil"/>
              <w:left w:val="single" w:sz="4" w:space="0" w:color="FFFFFF"/>
              <w:bottom w:val="nil"/>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$0</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noWrap/>
            <w:vAlign w:val="center"/>
            <w:hideMark/>
          </w:tcPr>
          <w:p w:rsidR="00ED2B37" w:rsidRDefault="00F925DE">
            <w:pPr>
              <w:spacing w:before="40" w:after="40" w:line="240" w:lineRule="auto"/>
              <w:rPr>
                <w:rFonts w:eastAsia="MS Mincho" w:cs="Times New Roman"/>
                <w:szCs w:val="22"/>
              </w:rPr>
            </w:pPr>
            <w:r>
              <w:rPr>
                <w:rFonts w:eastAsia="MS Mincho" w:cs="Times New Roman"/>
                <w:b w:val="0"/>
                <w:szCs w:val="22"/>
              </w:rPr>
              <w:t>Government Grants State</w:t>
            </w:r>
          </w:p>
        </w:tc>
        <w:tc>
          <w:tcPr>
            <w:tcW w:w="1425" w:type="pct"/>
            <w:tcBorders>
              <w:top w:val="nil"/>
              <w:left w:val="single" w:sz="4" w:space="0" w:color="FFFFFF"/>
              <w:bottom w:val="nil"/>
            </w:tcBorders>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$0</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shd w:val="clear" w:color="auto" w:fill="D9D9D9"/>
            <w:noWrap/>
            <w:vAlign w:val="center"/>
            <w:hideMark/>
          </w:tcPr>
          <w:p w:rsidR="00ED2B37" w:rsidRDefault="00F925DE">
            <w:pPr>
              <w:spacing w:before="40" w:after="40" w:line="240" w:lineRule="auto"/>
              <w:rPr>
                <w:rFonts w:eastAsia="MS Mincho" w:cs="Times New Roman"/>
                <w:szCs w:val="22"/>
              </w:rPr>
            </w:pPr>
            <w:r>
              <w:rPr>
                <w:rFonts w:eastAsia="MS Mincho" w:cs="Times New Roman"/>
                <w:b w:val="0"/>
                <w:szCs w:val="22"/>
              </w:rPr>
              <w:t>Revenue Other</w:t>
            </w:r>
          </w:p>
        </w:tc>
        <w:tc>
          <w:tcPr>
            <w:tcW w:w="1425" w:type="pct"/>
            <w:tcBorders>
              <w:top w:val="nil"/>
              <w:left w:val="single" w:sz="4" w:space="0" w:color="FFFFFF"/>
              <w:bottom w:val="nil"/>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$10,430</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auto"/>
            <w:noWrap/>
            <w:vAlign w:val="center"/>
          </w:tcPr>
          <w:p w:rsidR="00ED2B37" w:rsidRDefault="00F925DE">
            <w:pPr>
              <w:spacing w:before="40" w:after="40" w:line="240" w:lineRule="auto"/>
              <w:rPr>
                <w:rFonts w:eastAsia="MS Mincho" w:cs="Times New Roman"/>
                <w:szCs w:val="22"/>
              </w:rPr>
            </w:pPr>
            <w:r>
              <w:rPr>
                <w:rFonts w:eastAsia="MS Mincho" w:cs="Times New Roman"/>
                <w:b w:val="0"/>
                <w:szCs w:val="22"/>
              </w:rPr>
              <w:t>Locally Raised Funds</w:t>
            </w:r>
          </w:p>
        </w:tc>
        <w:tc>
          <w:tcPr>
            <w:tcW w:w="1425" w:type="pct"/>
            <w:tcBorders>
              <w:top w:val="nil"/>
              <w:left w:val="nil"/>
              <w:bottom w:val="nil"/>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$21,010</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2" w:space="0" w:color="106CB5"/>
              <w:right w:val="nil"/>
            </w:tcBorders>
            <w:shd w:val="clear" w:color="auto" w:fill="D9D9D9"/>
            <w:noWrap/>
            <w:vAlign w:val="center"/>
          </w:tcPr>
          <w:p w:rsidR="00495A65" w:rsidRPr="00495A65" w:rsidRDefault="00F925DE">
            <w:pPr>
              <w:spacing w:before="40" w:after="40" w:line="240" w:lineRule="auto"/>
              <w:rPr>
                <w:rFonts w:eastAsia="MS Mincho" w:cs="Times New Roman"/>
                <w:szCs w:val="22"/>
              </w:rPr>
            </w:pPr>
            <w:r w:rsidRPr="00495A65">
              <w:rPr>
                <w:rFonts w:eastAsia="MS Mincho" w:cs="Times New Roman"/>
                <w:b w:val="0"/>
                <w:szCs w:val="22"/>
              </w:rPr>
              <w:t>Capital Grants</w:t>
            </w:r>
          </w:p>
        </w:tc>
        <w:tc>
          <w:tcPr>
            <w:tcW w:w="1425" w:type="pct"/>
            <w:tcBorders>
              <w:top w:val="nil"/>
              <w:left w:val="nil"/>
              <w:bottom w:val="single" w:sz="2" w:space="0" w:color="106CB5"/>
            </w:tcBorders>
            <w:shd w:val="clear" w:color="auto" w:fill="D9D9D9"/>
            <w:noWrap/>
            <w:vAlign w:val="center"/>
          </w:tcPr>
          <w:p w:rsidR="00495A65" w:rsidRDefault="00F925DE">
            <w:pPr>
              <w:jc w:val="right"/>
              <w:cnfStyle w:val="000000100000" w:firstRow="0" w:lastRow="0" w:firstColumn="0" w:lastColumn="0" w:oddVBand="0" w:evenVBand="0" w:oddHBand="1" w:evenHBand="0" w:firstRowFirstColumn="0" w:firstRowLastColumn="0" w:lastRowFirstColumn="0" w:lastRowLastColumn="0"/>
            </w:pPr>
            <w:r>
              <w:t>$0</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2" w:space="0" w:color="106CB5"/>
              <w:bottom w:val="single" w:sz="2" w:space="0" w:color="106CB5"/>
            </w:tcBorders>
            <w:noWrap/>
            <w:vAlign w:val="center"/>
            <w:hideMark/>
          </w:tcPr>
          <w:p w:rsidR="00ED2B37" w:rsidRDefault="00F925DE">
            <w:pPr>
              <w:spacing w:before="40" w:after="40" w:line="240" w:lineRule="auto"/>
              <w:rPr>
                <w:rFonts w:eastAsia="MS Mincho" w:cs="Times New Roman"/>
                <w:szCs w:val="22"/>
              </w:rPr>
            </w:pPr>
            <w:r>
              <w:rPr>
                <w:rFonts w:eastAsia="MS Mincho" w:cs="Times New Roman"/>
                <w:szCs w:val="22"/>
              </w:rPr>
              <w:t>Total Operating Revenue</w:t>
            </w:r>
          </w:p>
        </w:tc>
        <w:tc>
          <w:tcPr>
            <w:tcW w:w="1425" w:type="pct"/>
            <w:tcBorders>
              <w:top w:val="single" w:sz="2" w:space="0" w:color="106CB5"/>
              <w:bottom w:val="single" w:sz="2" w:space="0" w:color="106CB5"/>
            </w:tcBorders>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$477,663</w:t>
            </w:r>
          </w:p>
        </w:tc>
      </w:tr>
    </w:tbl>
    <w:p w:rsidR="00ED2B37" w:rsidRDefault="00F925DE">
      <w:pPr>
        <w:spacing w:after="0" w:line="240" w:lineRule="auto"/>
        <w:rPr>
          <w:rFonts w:eastAsia="MS Mincho"/>
        </w:rPr>
      </w:pPr>
    </w:p>
    <w:tbl>
      <w:tblPr>
        <w:tblStyle w:val="GridTable2-Accent6121"/>
        <w:tblW w:w="2876" w:type="pct"/>
        <w:jc w:val="center"/>
        <w:tblLook w:val="04A0" w:firstRow="1" w:lastRow="0" w:firstColumn="1" w:lastColumn="0" w:noHBand="0" w:noVBand="1"/>
        <w:tblCaption w:val="FInance - Equity Table"/>
      </w:tblPr>
      <w:tblGrid>
        <w:gridCol w:w="4428"/>
        <w:gridCol w:w="1765"/>
      </w:tblGrid>
      <w:tr w:rsidR="00873CFB" w:rsidTr="00873CFB">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shd w:val="clear" w:color="auto" w:fill="106CB5"/>
            <w:noWrap/>
            <w:vAlign w:val="center"/>
          </w:tcPr>
          <w:p w:rsidR="00ED2B37" w:rsidRDefault="00F925DE">
            <w:pPr>
              <w:spacing w:before="40" w:after="40" w:line="240" w:lineRule="auto"/>
              <w:rPr>
                <w:rFonts w:eastAsia="MS Mincho" w:cs="Times New Roman"/>
                <w:color w:val="FFFFFF"/>
                <w:szCs w:val="22"/>
              </w:rPr>
            </w:pPr>
            <w:r>
              <w:rPr>
                <w:rFonts w:cs="Times New Roman"/>
                <w:b w:val="0"/>
                <w:color w:val="FFFFFF"/>
                <w:szCs w:val="22"/>
              </w:rPr>
              <w:t xml:space="preserve">Equity </w:t>
            </w:r>
            <w:r>
              <w:rPr>
                <w:rFonts w:cs="Times New Roman"/>
                <w:b w:val="0"/>
                <w:color w:val="FFFFFF"/>
                <w:szCs w:val="22"/>
                <w:vertAlign w:val="superscript"/>
              </w:rPr>
              <w:t>1</w:t>
            </w:r>
          </w:p>
        </w:tc>
        <w:tc>
          <w:tcPr>
            <w:tcW w:w="1772" w:type="pct"/>
            <w:shd w:val="clear" w:color="auto" w:fill="106CB5"/>
            <w:noWrap/>
            <w:vAlign w:val="center"/>
          </w:tcPr>
          <w:p w:rsidR="00ED2B37" w:rsidRDefault="00F925D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rPr>
            </w:pPr>
            <w:r>
              <w:rPr>
                <w:rFonts w:cs="Times New Roman"/>
                <w:b w:val="0"/>
                <w:color w:val="FFFFFF"/>
                <w:szCs w:val="22"/>
              </w:rPr>
              <w:t>Actual</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12" w:space="0" w:color="FFFFFF"/>
              <w:bottom w:val="nil"/>
            </w:tcBorders>
            <w:shd w:val="clear" w:color="auto" w:fill="D9D9D9"/>
            <w:noWrap/>
            <w:vAlign w:val="center"/>
          </w:tcPr>
          <w:p w:rsidR="00ED2B37" w:rsidRDefault="00F925DE">
            <w:pPr>
              <w:spacing w:before="40" w:after="40" w:line="240" w:lineRule="auto"/>
              <w:rPr>
                <w:rFonts w:eastAsia="MS Mincho" w:cs="Times New Roman"/>
                <w:szCs w:val="22"/>
              </w:rPr>
            </w:pPr>
            <w:r>
              <w:rPr>
                <w:rFonts w:cs="Times New Roman"/>
                <w:b w:val="0"/>
                <w:szCs w:val="22"/>
              </w:rPr>
              <w:t>Equity (Social Disadvantage)</w:t>
            </w:r>
          </w:p>
        </w:tc>
        <w:tc>
          <w:tcPr>
            <w:tcW w:w="1772" w:type="pct"/>
            <w:tcBorders>
              <w:top w:val="single" w:sz="12" w:space="0" w:color="FFFFFF"/>
              <w:bottom w:val="nil"/>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$5,000</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auto"/>
            <w:noWrap/>
            <w:vAlign w:val="center"/>
          </w:tcPr>
          <w:p w:rsidR="00ED2B37" w:rsidRDefault="00F925DE">
            <w:pPr>
              <w:spacing w:before="40" w:after="40" w:line="240" w:lineRule="auto"/>
              <w:rPr>
                <w:rFonts w:eastAsia="MS Mincho" w:cs="Times New Roman"/>
                <w:szCs w:val="22"/>
              </w:rPr>
            </w:pPr>
            <w:r>
              <w:rPr>
                <w:rFonts w:cs="Times New Roman"/>
                <w:b w:val="0"/>
                <w:szCs w:val="22"/>
              </w:rPr>
              <w:t>Equity (Catch Up)</w:t>
            </w:r>
          </w:p>
        </w:tc>
        <w:tc>
          <w:tcPr>
            <w:tcW w:w="1772" w:type="pct"/>
            <w:tcBorders>
              <w:top w:val="nil"/>
              <w:left w:val="nil"/>
              <w:bottom w:val="nil"/>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$0</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tcBorders>
            <w:shd w:val="clear" w:color="auto" w:fill="D9D9D9"/>
            <w:noWrap/>
            <w:vAlign w:val="center"/>
          </w:tcPr>
          <w:p w:rsidR="00ED2B37" w:rsidRDefault="00F925DE">
            <w:pPr>
              <w:spacing w:before="40" w:after="40" w:line="240" w:lineRule="auto"/>
              <w:rPr>
                <w:rFonts w:eastAsia="MS Mincho" w:cs="Times New Roman"/>
                <w:szCs w:val="22"/>
              </w:rPr>
            </w:pPr>
            <w:r>
              <w:rPr>
                <w:rFonts w:cs="Times New Roman"/>
                <w:b w:val="0"/>
                <w:szCs w:val="22"/>
              </w:rPr>
              <w:t>Transition Funding</w:t>
            </w:r>
          </w:p>
        </w:tc>
        <w:tc>
          <w:tcPr>
            <w:tcW w:w="1772" w:type="pct"/>
            <w:tcBorders>
              <w:top w:val="nil"/>
              <w:bottom w:val="nil"/>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$0</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2" w:space="0" w:color="106CB5"/>
            </w:tcBorders>
            <w:shd w:val="clear" w:color="auto" w:fill="auto"/>
            <w:noWrap/>
            <w:vAlign w:val="center"/>
          </w:tcPr>
          <w:p w:rsidR="00ED2B37" w:rsidRDefault="00F925DE">
            <w:pPr>
              <w:spacing w:before="40" w:after="40"/>
              <w:rPr>
                <w:rFonts w:cs="Times New Roman"/>
                <w:szCs w:val="22"/>
              </w:rPr>
            </w:pPr>
            <w:r>
              <w:rPr>
                <w:rFonts w:cs="Times New Roman"/>
                <w:b w:val="0"/>
                <w:szCs w:val="22"/>
              </w:rPr>
              <w:t>Equity (Social Disadvantage – Extraordinary Growth)</w:t>
            </w:r>
          </w:p>
          <w:p w:rsidR="00ED2B37" w:rsidRDefault="00F925DE">
            <w:pPr>
              <w:spacing w:before="40" w:after="40" w:line="240" w:lineRule="auto"/>
              <w:rPr>
                <w:rFonts w:eastAsia="MS Mincho" w:cs="Times New Roman"/>
                <w:color w:val="FFFFFF"/>
                <w:szCs w:val="22"/>
              </w:rPr>
            </w:pPr>
          </w:p>
        </w:tc>
        <w:tc>
          <w:tcPr>
            <w:tcW w:w="1772" w:type="pct"/>
            <w:tcBorders>
              <w:top w:val="nil"/>
              <w:bottom w:val="single" w:sz="2" w:space="0" w:color="106CB5"/>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$0</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2" w:space="0" w:color="106CB5"/>
              <w:bottom w:val="single" w:sz="2" w:space="0" w:color="106CB5"/>
            </w:tcBorders>
            <w:shd w:val="clear" w:color="auto" w:fill="auto"/>
            <w:noWrap/>
            <w:vAlign w:val="center"/>
          </w:tcPr>
          <w:p w:rsidR="00ED2B37" w:rsidRDefault="00F925DE">
            <w:pPr>
              <w:spacing w:before="40" w:after="40"/>
              <w:rPr>
                <w:rFonts w:cs="Times New Roman"/>
                <w:szCs w:val="22"/>
              </w:rPr>
            </w:pPr>
            <w:r>
              <w:rPr>
                <w:rFonts w:cs="Times New Roman"/>
                <w:szCs w:val="22"/>
              </w:rPr>
              <w:t>Equity Total</w:t>
            </w:r>
          </w:p>
        </w:tc>
        <w:tc>
          <w:tcPr>
            <w:tcW w:w="1772" w:type="pct"/>
            <w:tcBorders>
              <w:top w:val="single" w:sz="2" w:space="0" w:color="106CB5"/>
              <w:bottom w:val="single" w:sz="2" w:space="0" w:color="106CB5"/>
            </w:tcBorders>
            <w:shd w:val="clear" w:color="auto" w:fill="auto"/>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$5,000</w:t>
            </w:r>
          </w:p>
        </w:tc>
      </w:tr>
    </w:tbl>
    <w:p w:rsidR="00ED2B37" w:rsidRDefault="00F925DE">
      <w:pPr>
        <w:spacing w:after="0" w:line="240" w:lineRule="auto"/>
        <w:rPr>
          <w:rFonts w:eastAsia="MS Mincho"/>
        </w:rPr>
      </w:pPr>
    </w:p>
    <w:tbl>
      <w:tblPr>
        <w:tblStyle w:val="GridTable2-Accent612"/>
        <w:tblW w:w="2876" w:type="pct"/>
        <w:jc w:val="center"/>
        <w:tblLook w:val="04A0" w:firstRow="1" w:lastRow="0" w:firstColumn="1" w:lastColumn="0" w:noHBand="0" w:noVBand="1"/>
        <w:tblCaption w:val="Finance - Expenditure table"/>
      </w:tblPr>
      <w:tblGrid>
        <w:gridCol w:w="3997"/>
        <w:gridCol w:w="2196"/>
      </w:tblGrid>
      <w:tr w:rsidR="00873CFB" w:rsidTr="00873CFB">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227" w:type="pct"/>
            <w:shd w:val="clear" w:color="auto" w:fill="106CB5"/>
            <w:vAlign w:val="center"/>
            <w:hideMark/>
          </w:tcPr>
          <w:p w:rsidR="00ED2B37" w:rsidRDefault="00F925DE">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Expenditure</w:t>
            </w:r>
          </w:p>
        </w:tc>
        <w:tc>
          <w:tcPr>
            <w:tcW w:w="1773" w:type="pct"/>
            <w:shd w:val="clear" w:color="auto" w:fill="106CB5"/>
            <w:vAlign w:val="center"/>
            <w:hideMark/>
          </w:tcPr>
          <w:p w:rsidR="00ED2B37" w:rsidRDefault="00F925D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12" w:space="0" w:color="FFFFFF"/>
              <w:bottom w:val="nil"/>
              <w:right w:val="single" w:sz="4" w:space="0" w:color="FFFFFF"/>
            </w:tcBorders>
            <w:shd w:val="clear" w:color="auto" w:fill="D9D9D9"/>
            <w:noWrap/>
            <w:vAlign w:val="center"/>
            <w:hideMark/>
          </w:tcPr>
          <w:p w:rsidR="00ED2B37" w:rsidRDefault="00F925DE">
            <w:pPr>
              <w:spacing w:before="40" w:after="40" w:line="240" w:lineRule="auto"/>
              <w:rPr>
                <w:rFonts w:eastAsia="MS Mincho" w:cs="Times New Roman"/>
                <w:szCs w:val="22"/>
                <w:lang w:val="en-US"/>
              </w:rPr>
            </w:pPr>
            <w:r>
              <w:rPr>
                <w:rFonts w:eastAsia="MS Mincho" w:cs="Times New Roman"/>
                <w:b w:val="0"/>
                <w:bCs w:val="0"/>
                <w:szCs w:val="22"/>
                <w:lang w:val="en-US"/>
              </w:rPr>
              <w:t xml:space="preserve">Student Resource Package </w:t>
            </w:r>
            <w:r>
              <w:rPr>
                <w:rFonts w:eastAsia="MS Mincho" w:cs="Times New Roman"/>
                <w:b w:val="0"/>
                <w:bCs w:val="0"/>
                <w:szCs w:val="22"/>
                <w:vertAlign w:val="superscript"/>
                <w:lang w:val="en-US"/>
              </w:rPr>
              <w:t>2</w:t>
            </w:r>
          </w:p>
        </w:tc>
        <w:tc>
          <w:tcPr>
            <w:tcW w:w="1773" w:type="pct"/>
            <w:tcBorders>
              <w:top w:val="single" w:sz="12" w:space="0" w:color="FFFFFF"/>
              <w:left w:val="single" w:sz="4" w:space="0" w:color="FFFFFF"/>
              <w:bottom w:val="nil"/>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$395,096</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noWrap/>
            <w:vAlign w:val="center"/>
            <w:hideMark/>
          </w:tcPr>
          <w:p w:rsidR="00ED2B37" w:rsidRDefault="00F925DE">
            <w:pPr>
              <w:spacing w:before="40" w:after="40" w:line="240" w:lineRule="auto"/>
              <w:rPr>
                <w:rFonts w:eastAsia="MS Mincho" w:cs="Times New Roman"/>
                <w:szCs w:val="22"/>
                <w:lang w:val="en-US"/>
              </w:rPr>
            </w:pPr>
            <w:r>
              <w:rPr>
                <w:rFonts w:eastAsia="MS Mincho" w:cs="Times New Roman"/>
                <w:b w:val="0"/>
                <w:bCs w:val="0"/>
                <w:szCs w:val="22"/>
                <w:lang w:val="en-US"/>
              </w:rPr>
              <w:t>Adjustments</w:t>
            </w:r>
          </w:p>
        </w:tc>
        <w:tc>
          <w:tcPr>
            <w:tcW w:w="1773" w:type="pct"/>
            <w:tcBorders>
              <w:top w:val="nil"/>
              <w:left w:val="single" w:sz="4" w:space="0" w:color="FFFFFF"/>
              <w:bottom w:val="nil"/>
            </w:tcBorders>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$3,806</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9D9D9"/>
            <w:noWrap/>
            <w:vAlign w:val="center"/>
          </w:tcPr>
          <w:p w:rsidR="00ED2B37" w:rsidRDefault="00F925DE">
            <w:pPr>
              <w:spacing w:before="40" w:after="40" w:line="240" w:lineRule="auto"/>
              <w:rPr>
                <w:rFonts w:eastAsia="MS Mincho" w:cs="Times New Roman"/>
                <w:szCs w:val="22"/>
                <w:lang w:val="en-US"/>
              </w:rPr>
            </w:pPr>
            <w:r>
              <w:rPr>
                <w:rFonts w:eastAsia="MS Mincho" w:cs="Times New Roman"/>
                <w:b w:val="0"/>
                <w:bCs w:val="0"/>
                <w:szCs w:val="22"/>
                <w:lang w:val="en-US"/>
              </w:rPr>
              <w:t>Books &amp; Publications</w:t>
            </w:r>
          </w:p>
        </w:tc>
        <w:tc>
          <w:tcPr>
            <w:tcW w:w="1773" w:type="pct"/>
            <w:tcBorders>
              <w:top w:val="nil"/>
              <w:left w:val="single" w:sz="4" w:space="0" w:color="FFFFFF"/>
              <w:bottom w:val="nil"/>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$361</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ED2B37" w:rsidRDefault="00F925DE">
            <w:pPr>
              <w:spacing w:before="40" w:after="40" w:line="240" w:lineRule="auto"/>
              <w:rPr>
                <w:rFonts w:eastAsia="MS Mincho" w:cs="Times New Roman"/>
                <w:szCs w:val="22"/>
                <w:lang w:val="en-US"/>
              </w:rPr>
            </w:pPr>
            <w:r>
              <w:rPr>
                <w:rFonts w:eastAsia="MS Mincho" w:cs="Times New Roman"/>
                <w:b w:val="0"/>
                <w:bCs w:val="0"/>
                <w:szCs w:val="22"/>
                <w:lang w:val="en-US"/>
              </w:rPr>
              <w:t>Communication Costs</w:t>
            </w:r>
          </w:p>
        </w:tc>
        <w:tc>
          <w:tcPr>
            <w:tcW w:w="1773" w:type="pct"/>
            <w:tcBorders>
              <w:top w:val="nil"/>
              <w:left w:val="nil"/>
              <w:bottom w:val="nil"/>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$1,174</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9D9D9"/>
            <w:noWrap/>
            <w:vAlign w:val="center"/>
          </w:tcPr>
          <w:p w:rsidR="00ED2B37" w:rsidRDefault="00F925DE">
            <w:pPr>
              <w:spacing w:before="40" w:after="40" w:line="240" w:lineRule="auto"/>
              <w:rPr>
                <w:rFonts w:eastAsia="MS Mincho" w:cs="Times New Roman"/>
                <w:szCs w:val="22"/>
                <w:lang w:val="en-US"/>
              </w:rPr>
            </w:pPr>
            <w:r>
              <w:rPr>
                <w:rFonts w:eastAsia="MS Mincho" w:cs="Times New Roman"/>
                <w:b w:val="0"/>
                <w:bCs w:val="0"/>
                <w:szCs w:val="22"/>
                <w:lang w:val="en-US"/>
              </w:rPr>
              <w:t>Consumables</w:t>
            </w:r>
          </w:p>
        </w:tc>
        <w:tc>
          <w:tcPr>
            <w:tcW w:w="1773" w:type="pct"/>
            <w:tcBorders>
              <w:top w:val="nil"/>
              <w:left w:val="single" w:sz="4" w:space="0" w:color="FFFFFF"/>
              <w:bottom w:val="nil"/>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$8,896</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ED2B37" w:rsidRDefault="00F925DE">
            <w:pPr>
              <w:spacing w:before="40" w:after="40" w:line="240" w:lineRule="auto"/>
              <w:rPr>
                <w:rFonts w:eastAsia="MS Mincho" w:cs="Times New Roman"/>
                <w:szCs w:val="22"/>
                <w:lang w:val="en-US"/>
              </w:rPr>
            </w:pPr>
            <w:r>
              <w:rPr>
                <w:rFonts w:eastAsia="MS Mincho" w:cs="Times New Roman"/>
                <w:b w:val="0"/>
                <w:bCs w:val="0"/>
                <w:szCs w:val="22"/>
                <w:lang w:val="en-US"/>
              </w:rPr>
              <w:t xml:space="preserve">Miscellaneous Expense </w:t>
            </w:r>
            <w:r>
              <w:rPr>
                <w:rFonts w:eastAsia="MS Mincho" w:cs="Times New Roman"/>
                <w:b w:val="0"/>
                <w:bCs w:val="0"/>
                <w:szCs w:val="22"/>
                <w:vertAlign w:val="superscript"/>
                <w:lang w:val="en-US"/>
              </w:rPr>
              <w:t>3</w:t>
            </w:r>
          </w:p>
        </w:tc>
        <w:tc>
          <w:tcPr>
            <w:tcW w:w="1773" w:type="pct"/>
            <w:tcBorders>
              <w:top w:val="nil"/>
              <w:left w:val="nil"/>
              <w:bottom w:val="nil"/>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$15,234</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tcBorders>
            <w:shd w:val="clear" w:color="auto" w:fill="D9D9D9"/>
            <w:noWrap/>
            <w:vAlign w:val="center"/>
          </w:tcPr>
          <w:p w:rsidR="00ED2B37" w:rsidRDefault="00F925DE">
            <w:pPr>
              <w:spacing w:before="40" w:after="40" w:line="240" w:lineRule="auto"/>
              <w:rPr>
                <w:rFonts w:eastAsia="MS Mincho" w:cs="Times New Roman"/>
                <w:szCs w:val="22"/>
                <w:lang w:val="en-US"/>
              </w:rPr>
            </w:pPr>
            <w:r>
              <w:rPr>
                <w:rFonts w:eastAsia="MS Mincho" w:cs="Times New Roman"/>
                <w:b w:val="0"/>
                <w:bCs w:val="0"/>
                <w:szCs w:val="22"/>
                <w:lang w:val="en-US"/>
              </w:rPr>
              <w:t>Professional Development</w:t>
            </w:r>
          </w:p>
        </w:tc>
        <w:tc>
          <w:tcPr>
            <w:tcW w:w="1773" w:type="pct"/>
            <w:tcBorders>
              <w:top w:val="nil"/>
              <w:bottom w:val="nil"/>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$2,232</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ED2B37" w:rsidRDefault="00F925DE">
            <w:pPr>
              <w:spacing w:before="40" w:after="40" w:line="240" w:lineRule="auto"/>
              <w:rPr>
                <w:rFonts w:eastAsia="MS Mincho" w:cs="Times New Roman"/>
                <w:szCs w:val="22"/>
                <w:lang w:val="en-US"/>
              </w:rPr>
            </w:pPr>
            <w:r>
              <w:rPr>
                <w:rFonts w:eastAsia="MS Mincho" w:cs="Times New Roman"/>
                <w:b w:val="0"/>
                <w:bCs w:val="0"/>
                <w:szCs w:val="22"/>
                <w:lang w:val="en-US"/>
              </w:rPr>
              <w:t>Property and Equipment Services</w:t>
            </w:r>
          </w:p>
        </w:tc>
        <w:tc>
          <w:tcPr>
            <w:tcW w:w="1773" w:type="pct"/>
            <w:tcBorders>
              <w:top w:val="nil"/>
              <w:left w:val="nil"/>
              <w:bottom w:val="nil"/>
            </w:tcBorders>
            <w:shd w:val="clear" w:color="auto" w:fill="auto"/>
            <w:noWrap/>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$19,187</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BD9D6"/>
            <w:noWrap/>
            <w:vAlign w:val="center"/>
          </w:tcPr>
          <w:p w:rsidR="00ED2B37" w:rsidRDefault="00F925DE">
            <w:pPr>
              <w:spacing w:before="40" w:after="40" w:line="240" w:lineRule="auto"/>
              <w:rPr>
                <w:rFonts w:eastAsia="MS Mincho" w:cs="Times New Roman"/>
                <w:szCs w:val="22"/>
                <w:lang w:val="en-US"/>
              </w:rPr>
            </w:pPr>
            <w:r>
              <w:rPr>
                <w:rFonts w:eastAsia="MS Mincho" w:cs="Times New Roman"/>
                <w:b w:val="0"/>
                <w:bCs w:val="0"/>
                <w:szCs w:val="22"/>
                <w:lang w:val="en-US"/>
              </w:rPr>
              <w:t xml:space="preserve">Salaries &amp; Allowances </w:t>
            </w:r>
            <w:r>
              <w:rPr>
                <w:rFonts w:eastAsia="MS Mincho" w:cs="Times New Roman"/>
                <w:b w:val="0"/>
                <w:bCs w:val="0"/>
                <w:szCs w:val="22"/>
                <w:vertAlign w:val="superscript"/>
                <w:lang w:val="en-US"/>
              </w:rPr>
              <w:t>4</w:t>
            </w:r>
          </w:p>
        </w:tc>
        <w:tc>
          <w:tcPr>
            <w:tcW w:w="1773" w:type="pct"/>
            <w:tcBorders>
              <w:top w:val="nil"/>
              <w:left w:val="single" w:sz="4" w:space="0" w:color="FFFFFF"/>
              <w:bottom w:val="nil"/>
            </w:tcBorders>
            <w:shd w:val="clear" w:color="auto" w:fill="DBD9D6"/>
            <w:noWrap/>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$12,648</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auto"/>
            <w:noWrap/>
            <w:vAlign w:val="center"/>
          </w:tcPr>
          <w:p w:rsidR="00ED2B37" w:rsidRDefault="00F925DE">
            <w:pPr>
              <w:spacing w:before="40" w:after="40" w:line="240" w:lineRule="auto"/>
              <w:rPr>
                <w:rFonts w:eastAsia="MS Mincho" w:cs="Times New Roman"/>
                <w:szCs w:val="22"/>
                <w:lang w:val="en-US"/>
              </w:rPr>
            </w:pPr>
            <w:r>
              <w:rPr>
                <w:rFonts w:eastAsia="MS Mincho" w:cs="Times New Roman"/>
                <w:b w:val="0"/>
                <w:bCs w:val="0"/>
                <w:szCs w:val="22"/>
                <w:lang w:val="en-US"/>
              </w:rPr>
              <w:t>Trading &amp; Fundraising</w:t>
            </w:r>
          </w:p>
        </w:tc>
        <w:tc>
          <w:tcPr>
            <w:tcW w:w="1773" w:type="pct"/>
            <w:tcBorders>
              <w:top w:val="nil"/>
              <w:left w:val="single" w:sz="4" w:space="0" w:color="FFFFFF"/>
              <w:bottom w:val="nil"/>
            </w:tcBorders>
            <w:shd w:val="clear" w:color="auto" w:fill="auto"/>
            <w:noWrap/>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$4,364</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BD9D6"/>
            <w:noWrap/>
            <w:vAlign w:val="center"/>
          </w:tcPr>
          <w:p w:rsidR="00ED2B37" w:rsidRDefault="00F925DE">
            <w:pPr>
              <w:spacing w:before="40" w:after="40" w:line="240" w:lineRule="auto"/>
              <w:rPr>
                <w:rFonts w:eastAsia="MS Mincho" w:cs="Times New Roman"/>
                <w:szCs w:val="22"/>
                <w:lang w:val="en-US"/>
              </w:rPr>
            </w:pPr>
            <w:r>
              <w:rPr>
                <w:rFonts w:eastAsia="MS Mincho" w:cs="Times New Roman"/>
                <w:b w:val="0"/>
                <w:bCs w:val="0"/>
                <w:szCs w:val="22"/>
                <w:lang w:val="en-US"/>
              </w:rPr>
              <w:t>Travel &amp; Subsistence</w:t>
            </w:r>
          </w:p>
        </w:tc>
        <w:tc>
          <w:tcPr>
            <w:tcW w:w="1773" w:type="pct"/>
            <w:tcBorders>
              <w:top w:val="nil"/>
              <w:left w:val="single" w:sz="4" w:space="0" w:color="FFFFFF"/>
              <w:bottom w:val="nil"/>
            </w:tcBorders>
            <w:shd w:val="clear" w:color="auto" w:fill="DBD9D6"/>
            <w:noWrap/>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$0</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single" w:sz="2" w:space="0" w:color="106CB5"/>
              <w:right w:val="nil"/>
            </w:tcBorders>
            <w:shd w:val="clear" w:color="auto" w:fill="auto"/>
            <w:noWrap/>
            <w:vAlign w:val="center"/>
          </w:tcPr>
          <w:p w:rsidR="00ED2B37" w:rsidRDefault="00F925DE">
            <w:pPr>
              <w:spacing w:before="40" w:after="40" w:line="240" w:lineRule="auto"/>
              <w:rPr>
                <w:rFonts w:eastAsia="MS Mincho" w:cs="Times New Roman"/>
                <w:szCs w:val="22"/>
                <w:lang w:val="en-US"/>
              </w:rPr>
            </w:pPr>
            <w:r>
              <w:rPr>
                <w:rFonts w:eastAsia="MS Mincho" w:cs="Times New Roman"/>
                <w:b w:val="0"/>
                <w:bCs w:val="0"/>
                <w:szCs w:val="22"/>
                <w:lang w:val="en-US"/>
              </w:rPr>
              <w:t>Utilities</w:t>
            </w:r>
          </w:p>
        </w:tc>
        <w:tc>
          <w:tcPr>
            <w:tcW w:w="1773" w:type="pct"/>
            <w:tcBorders>
              <w:top w:val="nil"/>
              <w:left w:val="nil"/>
              <w:bottom w:val="single" w:sz="2" w:space="0" w:color="106CB5"/>
            </w:tcBorders>
            <w:shd w:val="clear" w:color="auto" w:fill="auto"/>
            <w:noWrap/>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$5,374</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ED2B37" w:rsidRDefault="00F925DE">
            <w:pPr>
              <w:spacing w:after="0" w:line="240" w:lineRule="auto"/>
              <w:rPr>
                <w:rFonts w:eastAsia="MS Mincho" w:cs="Times New Roman"/>
                <w:szCs w:val="22"/>
                <w:lang w:val="en-US"/>
              </w:rPr>
            </w:pPr>
            <w:r>
              <w:rPr>
                <w:rFonts w:eastAsia="MS Mincho" w:cs="Times New Roman"/>
                <w:bCs w:val="0"/>
                <w:szCs w:val="22"/>
                <w:lang w:val="en-US"/>
              </w:rPr>
              <w:t>Total Operating Expenditure</w:t>
            </w:r>
          </w:p>
          <w:p w:rsidR="00ED2B37" w:rsidRDefault="00F925DE">
            <w:pPr>
              <w:spacing w:before="40" w:after="40" w:line="240" w:lineRule="auto"/>
              <w:rPr>
                <w:rFonts w:eastAsia="MS Mincho" w:cs="Times New Roman"/>
                <w:szCs w:val="22"/>
                <w:lang w:val="en-US"/>
              </w:rPr>
            </w:pPr>
          </w:p>
        </w:tc>
        <w:tc>
          <w:tcPr>
            <w:tcW w:w="1773" w:type="pct"/>
            <w:tcBorders>
              <w:top w:val="single" w:sz="2" w:space="0" w:color="106CB5"/>
              <w:bottom w:val="single" w:sz="2" w:space="0" w:color="106CB5"/>
            </w:tcBorders>
            <w:shd w:val="clear" w:color="auto" w:fill="auto"/>
            <w:noWrap/>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$468,371</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ED2B37" w:rsidRDefault="00F925DE">
            <w:pPr>
              <w:spacing w:after="0" w:line="240" w:lineRule="auto"/>
              <w:rPr>
                <w:rFonts w:eastAsia="MS Mincho" w:cs="Times New Roman"/>
                <w:szCs w:val="22"/>
              </w:rPr>
            </w:pPr>
            <w:r>
              <w:rPr>
                <w:rFonts w:eastAsia="MS Mincho" w:cs="Times New Roman"/>
                <w:szCs w:val="22"/>
              </w:rPr>
              <w:t xml:space="preserve">Net Operating </w:t>
            </w:r>
            <w:r>
              <w:rPr>
                <w:rFonts w:eastAsia="MS Mincho" w:cs="Times New Roman"/>
                <w:szCs w:val="22"/>
              </w:rPr>
              <w:t>Surplus/-Deficit</w:t>
            </w:r>
          </w:p>
        </w:tc>
        <w:tc>
          <w:tcPr>
            <w:tcW w:w="1773" w:type="pct"/>
            <w:tcBorders>
              <w:top w:val="single" w:sz="2" w:space="0" w:color="106CB5"/>
              <w:bottom w:val="single" w:sz="2" w:space="0" w:color="106CB5"/>
            </w:tcBorders>
            <w:shd w:val="clear" w:color="auto" w:fill="auto"/>
            <w:noWrap/>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$9,292</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ED2B37" w:rsidRDefault="00F925DE">
            <w:pPr>
              <w:spacing w:after="0" w:line="240" w:lineRule="auto"/>
              <w:rPr>
                <w:rFonts w:eastAsia="MS Mincho" w:cs="Times New Roman"/>
                <w:szCs w:val="22"/>
              </w:rPr>
            </w:pPr>
            <w:r>
              <w:rPr>
                <w:rFonts w:eastAsia="MS Mincho" w:cs="Times New Roman"/>
                <w:szCs w:val="22"/>
              </w:rPr>
              <w:t>Asset Acquisitions</w:t>
            </w:r>
          </w:p>
        </w:tc>
        <w:tc>
          <w:tcPr>
            <w:tcW w:w="1773" w:type="pct"/>
            <w:tcBorders>
              <w:top w:val="single" w:sz="2" w:space="0" w:color="106CB5"/>
              <w:bottom w:val="single" w:sz="2" w:space="0" w:color="106CB5"/>
            </w:tcBorders>
            <w:shd w:val="clear" w:color="auto" w:fill="auto"/>
            <w:noWrap/>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$0</w:t>
            </w:r>
          </w:p>
        </w:tc>
      </w:tr>
    </w:tbl>
    <w:p w:rsidR="00ED2B37" w:rsidRDefault="00F925DE">
      <w:pPr>
        <w:spacing w:after="0" w:line="240" w:lineRule="auto"/>
        <w:rPr>
          <w:rFonts w:eastAsia="MS Mincho"/>
        </w:rPr>
      </w:pPr>
    </w:p>
    <w:p w:rsidR="00ED2B37" w:rsidRDefault="00F925DE">
      <w:pPr>
        <w:keepNext/>
        <w:keepLines/>
        <w:spacing w:before="240"/>
        <w:outlineLvl w:val="0"/>
        <w:rPr>
          <w:rFonts w:eastAsia="MS Gothic" w:cs="Times New Roman"/>
          <w:b/>
          <w:bCs/>
          <w:caps/>
          <w:color w:val="00008B"/>
          <w:sz w:val="20"/>
          <w:szCs w:val="20"/>
          <w:u w:val="single"/>
        </w:rPr>
      </w:pPr>
      <w:r>
        <w:rPr>
          <w:rFonts w:eastAsia="MS Gothic" w:cs="Times New Roman"/>
          <w:b/>
          <w:bCs/>
          <w:caps/>
          <w:color w:val="00008B"/>
          <w:sz w:val="20"/>
          <w:szCs w:val="20"/>
          <w:u w:val="single"/>
        </w:rPr>
        <w:t>Financial Position as at 31 December, 2019</w:t>
      </w:r>
    </w:p>
    <w:tbl>
      <w:tblPr>
        <w:tblStyle w:val="GridTable2-Accent612"/>
        <w:tblW w:w="2876" w:type="pct"/>
        <w:jc w:val="center"/>
        <w:tblLook w:val="04A0" w:firstRow="1" w:lastRow="0" w:firstColumn="1" w:lastColumn="0" w:noHBand="0" w:noVBand="1"/>
        <w:tblCaption w:val="Fund available"/>
      </w:tblPr>
      <w:tblGrid>
        <w:gridCol w:w="3998"/>
        <w:gridCol w:w="2195"/>
      </w:tblGrid>
      <w:tr w:rsidR="00873CFB" w:rsidTr="00873CFB">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228" w:type="pct"/>
            <w:shd w:val="clear" w:color="auto" w:fill="106CB5"/>
            <w:vAlign w:val="center"/>
            <w:hideMark/>
          </w:tcPr>
          <w:p w:rsidR="00ED2B37" w:rsidRDefault="00F925DE">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Funds available</w:t>
            </w:r>
          </w:p>
        </w:tc>
        <w:tc>
          <w:tcPr>
            <w:tcW w:w="1772" w:type="pct"/>
            <w:shd w:val="clear" w:color="auto" w:fill="106CB5"/>
            <w:vAlign w:val="center"/>
            <w:hideMark/>
          </w:tcPr>
          <w:p w:rsidR="00ED2B37" w:rsidRDefault="00F925D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12" w:space="0" w:color="FFFFFF"/>
              <w:bottom w:val="nil"/>
              <w:right w:val="single" w:sz="4" w:space="0" w:color="FFFFFF"/>
            </w:tcBorders>
            <w:shd w:val="clear" w:color="auto" w:fill="D9D9D9"/>
            <w:noWrap/>
            <w:vAlign w:val="center"/>
          </w:tcPr>
          <w:p w:rsidR="00ED2B37" w:rsidRDefault="00F925DE">
            <w:pPr>
              <w:spacing w:before="40" w:after="40" w:line="240" w:lineRule="auto"/>
              <w:rPr>
                <w:rFonts w:eastAsia="MS Mincho" w:cs="Times New Roman"/>
                <w:szCs w:val="22"/>
                <w:lang w:val="en-US"/>
              </w:rPr>
            </w:pPr>
            <w:r>
              <w:rPr>
                <w:rFonts w:eastAsia="MS Mincho" w:cs="Times New Roman"/>
                <w:b w:val="0"/>
                <w:bCs w:val="0"/>
                <w:szCs w:val="22"/>
                <w:lang w:val="en-US"/>
              </w:rPr>
              <w:t>High Yield Investment Account</w:t>
            </w:r>
          </w:p>
        </w:tc>
        <w:tc>
          <w:tcPr>
            <w:tcW w:w="1772" w:type="pct"/>
            <w:tcBorders>
              <w:top w:val="single" w:sz="12" w:space="0" w:color="FFFFFF"/>
              <w:left w:val="single" w:sz="4" w:space="0" w:color="FFFFFF"/>
              <w:bottom w:val="nil"/>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$325,423</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single" w:sz="4" w:space="0" w:color="FFFFFF"/>
            </w:tcBorders>
            <w:noWrap/>
            <w:vAlign w:val="center"/>
          </w:tcPr>
          <w:p w:rsidR="00ED2B37" w:rsidRDefault="00F925DE">
            <w:pPr>
              <w:spacing w:before="40" w:after="40" w:line="240" w:lineRule="auto"/>
              <w:rPr>
                <w:rFonts w:eastAsia="MS Mincho" w:cs="Times New Roman"/>
                <w:szCs w:val="22"/>
                <w:lang w:val="en-US"/>
              </w:rPr>
            </w:pPr>
            <w:r>
              <w:rPr>
                <w:rFonts w:eastAsia="MS Mincho" w:cs="Times New Roman"/>
                <w:b w:val="0"/>
                <w:bCs w:val="0"/>
                <w:szCs w:val="22"/>
                <w:lang w:val="en-US"/>
              </w:rPr>
              <w:t>Official Account</w:t>
            </w:r>
          </w:p>
        </w:tc>
        <w:tc>
          <w:tcPr>
            <w:tcW w:w="1772" w:type="pct"/>
            <w:tcBorders>
              <w:top w:val="nil"/>
              <w:left w:val="single" w:sz="4" w:space="0" w:color="FFFFFF"/>
              <w:bottom w:val="nil"/>
            </w:tcBorders>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$6,518</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2" w:space="0" w:color="106CB5"/>
              <w:right w:val="single" w:sz="4" w:space="0" w:color="FFFFFF"/>
            </w:tcBorders>
            <w:shd w:val="clear" w:color="auto" w:fill="D9D9D9"/>
            <w:noWrap/>
            <w:vAlign w:val="center"/>
          </w:tcPr>
          <w:p w:rsidR="00ED2B37" w:rsidRDefault="00F925DE">
            <w:pPr>
              <w:spacing w:before="40" w:after="40" w:line="240" w:lineRule="auto"/>
              <w:rPr>
                <w:rFonts w:eastAsia="MS Mincho" w:cs="Times New Roman"/>
                <w:szCs w:val="22"/>
                <w:lang w:val="en-US"/>
              </w:rPr>
            </w:pPr>
            <w:r>
              <w:rPr>
                <w:rFonts w:eastAsia="MS Mincho" w:cs="Times New Roman"/>
                <w:b w:val="0"/>
                <w:bCs w:val="0"/>
                <w:szCs w:val="22"/>
                <w:lang w:val="en-US"/>
              </w:rPr>
              <w:t>Other Accounts</w:t>
            </w:r>
          </w:p>
        </w:tc>
        <w:tc>
          <w:tcPr>
            <w:tcW w:w="1772" w:type="pct"/>
            <w:tcBorders>
              <w:top w:val="nil"/>
              <w:left w:val="single" w:sz="4" w:space="0" w:color="FFFFFF"/>
              <w:bottom w:val="single" w:sz="2" w:space="0" w:color="106CB5"/>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$0</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2" w:space="0" w:color="106CB5"/>
              <w:bottom w:val="single" w:sz="2" w:space="0" w:color="106CB5"/>
            </w:tcBorders>
            <w:noWrap/>
            <w:vAlign w:val="center"/>
            <w:hideMark/>
          </w:tcPr>
          <w:p w:rsidR="00ED2B37" w:rsidRDefault="00F925DE">
            <w:pPr>
              <w:spacing w:before="40" w:after="40" w:line="240" w:lineRule="auto"/>
              <w:rPr>
                <w:rFonts w:eastAsia="MS Mincho" w:cs="Times New Roman"/>
                <w:szCs w:val="22"/>
                <w:lang w:val="en-US"/>
              </w:rPr>
            </w:pPr>
            <w:r>
              <w:rPr>
                <w:rFonts w:eastAsia="MS Mincho" w:cs="Times New Roman"/>
                <w:bCs w:val="0"/>
                <w:szCs w:val="22"/>
                <w:lang w:val="en-US"/>
              </w:rPr>
              <w:t>Total Funds Available</w:t>
            </w:r>
          </w:p>
        </w:tc>
        <w:tc>
          <w:tcPr>
            <w:tcW w:w="1772" w:type="pct"/>
            <w:tcBorders>
              <w:top w:val="single" w:sz="2" w:space="0" w:color="106CB5"/>
              <w:bottom w:val="single" w:sz="2" w:space="0" w:color="106CB5"/>
            </w:tcBorders>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$331,941</w:t>
            </w:r>
          </w:p>
        </w:tc>
      </w:tr>
    </w:tbl>
    <w:p w:rsidR="00ED2B37" w:rsidRDefault="00F925DE">
      <w:pPr>
        <w:spacing w:after="0" w:line="240" w:lineRule="auto"/>
        <w:rPr>
          <w:rFonts w:eastAsia="MS Mincho"/>
        </w:rPr>
      </w:pPr>
      <w:r>
        <w:rPr>
          <w:rFonts w:eastAsia="MS Mincho"/>
        </w:rPr>
        <w:br w:type="page"/>
      </w:r>
    </w:p>
    <w:p w:rsidR="00ED2B37" w:rsidRDefault="00F925DE">
      <w:pPr>
        <w:spacing w:after="0" w:line="240" w:lineRule="auto"/>
        <w:rPr>
          <w:rFonts w:eastAsia="MS Mincho"/>
        </w:rPr>
      </w:pPr>
    </w:p>
    <w:p w:rsidR="00ED2B37" w:rsidRDefault="00F925DE">
      <w:pPr>
        <w:spacing w:after="0" w:line="240" w:lineRule="auto"/>
        <w:rPr>
          <w:rFonts w:eastAsia="MS Mincho"/>
        </w:rPr>
      </w:pPr>
    </w:p>
    <w:tbl>
      <w:tblPr>
        <w:tblStyle w:val="GridTable2-Accent612"/>
        <w:tblW w:w="2876" w:type="pct"/>
        <w:jc w:val="center"/>
        <w:tblLook w:val="04A0" w:firstRow="1" w:lastRow="0" w:firstColumn="1" w:lastColumn="0" w:noHBand="0" w:noVBand="1"/>
        <w:tblCaption w:val="Financial Commitments"/>
      </w:tblPr>
      <w:tblGrid>
        <w:gridCol w:w="4584"/>
        <w:gridCol w:w="1609"/>
      </w:tblGrid>
      <w:tr w:rsidR="00873CFB" w:rsidTr="00873CFB">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701" w:type="pct"/>
            <w:shd w:val="clear" w:color="auto" w:fill="106CB5"/>
            <w:vAlign w:val="center"/>
            <w:hideMark/>
          </w:tcPr>
          <w:p w:rsidR="00ED2B37" w:rsidRDefault="00F925DE">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 xml:space="preserve">Financial </w:t>
            </w:r>
            <w:r>
              <w:rPr>
                <w:rFonts w:eastAsia="MS Mincho" w:cs="Times New Roman"/>
                <w:b w:val="0"/>
                <w:bCs w:val="0"/>
                <w:color w:val="FFFFFF"/>
                <w:szCs w:val="22"/>
                <w:lang w:val="en-US"/>
              </w:rPr>
              <w:t>Commitments</w:t>
            </w:r>
          </w:p>
        </w:tc>
        <w:tc>
          <w:tcPr>
            <w:tcW w:w="1299" w:type="pct"/>
            <w:shd w:val="clear" w:color="auto" w:fill="106CB5"/>
            <w:vAlign w:val="center"/>
            <w:hideMark/>
          </w:tcPr>
          <w:p w:rsidR="00ED2B37" w:rsidRDefault="00F925D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single" w:sz="12" w:space="0" w:color="FFFFFF"/>
              <w:bottom w:val="nil"/>
              <w:right w:val="single" w:sz="4" w:space="0" w:color="FFFFFF"/>
            </w:tcBorders>
            <w:shd w:val="clear" w:color="auto" w:fill="D9D9D9"/>
            <w:noWrap/>
            <w:vAlign w:val="center"/>
            <w:hideMark/>
          </w:tcPr>
          <w:p w:rsidR="00ED2B37" w:rsidRDefault="00F925DE">
            <w:pPr>
              <w:spacing w:before="40" w:after="40" w:line="240" w:lineRule="auto"/>
              <w:rPr>
                <w:rFonts w:eastAsia="MS Mincho" w:cs="Times New Roman"/>
                <w:szCs w:val="22"/>
                <w:lang w:val="en-US"/>
              </w:rPr>
            </w:pPr>
            <w:r>
              <w:rPr>
                <w:rFonts w:eastAsia="MS Mincho" w:cs="Times New Roman"/>
                <w:b w:val="0"/>
                <w:bCs w:val="0"/>
                <w:szCs w:val="22"/>
                <w:lang w:val="en-US"/>
              </w:rPr>
              <w:t>Operating Reserve</w:t>
            </w:r>
          </w:p>
        </w:tc>
        <w:tc>
          <w:tcPr>
            <w:tcW w:w="1299" w:type="pct"/>
            <w:tcBorders>
              <w:top w:val="single" w:sz="12" w:space="0" w:color="FFFFFF"/>
              <w:left w:val="single" w:sz="4" w:space="0" w:color="FFFFFF"/>
              <w:bottom w:val="nil"/>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$11,181</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ED2B37" w:rsidRDefault="00F925DE">
            <w:pPr>
              <w:spacing w:before="40" w:after="40" w:line="240" w:lineRule="auto"/>
              <w:rPr>
                <w:rFonts w:eastAsia="MS Mincho" w:cs="Times New Roman"/>
                <w:szCs w:val="22"/>
                <w:lang w:val="en-US"/>
              </w:rPr>
            </w:pPr>
            <w:r>
              <w:rPr>
                <w:b w:val="0"/>
                <w:lang w:val="en-US"/>
              </w:rPr>
              <w:t>Other Recurrent Expenditure</w:t>
            </w:r>
          </w:p>
        </w:tc>
        <w:tc>
          <w:tcPr>
            <w:tcW w:w="1299" w:type="pct"/>
            <w:tcBorders>
              <w:top w:val="nil"/>
              <w:left w:val="single" w:sz="4" w:space="0" w:color="FFFFFF"/>
              <w:bottom w:val="nil"/>
            </w:tcBorders>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$0</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ED2B37" w:rsidRDefault="00F925DE">
            <w:pPr>
              <w:spacing w:before="40" w:after="40" w:line="240" w:lineRule="auto"/>
              <w:rPr>
                <w:rFonts w:eastAsia="MS Mincho" w:cs="Times New Roman"/>
                <w:szCs w:val="22"/>
                <w:lang w:val="en-US"/>
              </w:rPr>
            </w:pPr>
            <w:r>
              <w:rPr>
                <w:b w:val="0"/>
                <w:lang w:val="en-US"/>
              </w:rPr>
              <w:t>Provision Accounts</w:t>
            </w:r>
          </w:p>
        </w:tc>
        <w:tc>
          <w:tcPr>
            <w:tcW w:w="1299" w:type="pct"/>
            <w:tcBorders>
              <w:top w:val="nil"/>
              <w:left w:val="single" w:sz="4" w:space="0" w:color="FFFFFF"/>
              <w:bottom w:val="nil"/>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$0</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auto"/>
            <w:noWrap/>
          </w:tcPr>
          <w:p w:rsidR="00ED2B37" w:rsidRDefault="00F925DE">
            <w:pPr>
              <w:spacing w:before="40" w:after="40" w:line="240" w:lineRule="auto"/>
              <w:rPr>
                <w:rFonts w:eastAsia="MS Mincho" w:cs="Times New Roman"/>
                <w:szCs w:val="22"/>
                <w:lang w:val="en-US"/>
              </w:rPr>
            </w:pPr>
            <w:r>
              <w:rPr>
                <w:b w:val="0"/>
                <w:lang w:val="en-US"/>
              </w:rPr>
              <w:t>Funds Received in Advance</w:t>
            </w:r>
          </w:p>
        </w:tc>
        <w:tc>
          <w:tcPr>
            <w:tcW w:w="1299" w:type="pct"/>
            <w:tcBorders>
              <w:top w:val="nil"/>
              <w:left w:val="single" w:sz="4" w:space="0" w:color="FFFFFF"/>
              <w:bottom w:val="nil"/>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$694</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BD9D6"/>
            <w:noWrap/>
          </w:tcPr>
          <w:p w:rsidR="00ED2B37" w:rsidRDefault="00F925DE">
            <w:pPr>
              <w:spacing w:before="40" w:after="40" w:line="240" w:lineRule="auto"/>
              <w:rPr>
                <w:rFonts w:eastAsia="MS Mincho" w:cs="Times New Roman"/>
                <w:szCs w:val="22"/>
                <w:lang w:val="en-US"/>
              </w:rPr>
            </w:pPr>
            <w:r>
              <w:rPr>
                <w:b w:val="0"/>
                <w:lang w:val="en-US"/>
              </w:rPr>
              <w:t>School Based Programs</w:t>
            </w:r>
          </w:p>
        </w:tc>
        <w:tc>
          <w:tcPr>
            <w:tcW w:w="1299" w:type="pct"/>
            <w:tcBorders>
              <w:top w:val="nil"/>
              <w:left w:val="single" w:sz="4" w:space="0" w:color="FFFFFF"/>
              <w:bottom w:val="nil"/>
            </w:tcBorders>
            <w:shd w:val="clear" w:color="auto" w:fill="DBD9D6"/>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$179,676</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ED2B37" w:rsidRDefault="00F925DE">
            <w:pPr>
              <w:spacing w:before="40" w:after="40" w:line="240" w:lineRule="auto"/>
              <w:rPr>
                <w:rFonts w:eastAsia="MS Mincho" w:cs="Times New Roman"/>
                <w:szCs w:val="22"/>
                <w:lang w:val="en-US"/>
              </w:rPr>
            </w:pPr>
            <w:r>
              <w:rPr>
                <w:b w:val="0"/>
                <w:lang w:val="en-US"/>
              </w:rPr>
              <w:t>Beneficiary/Memorial Accounts</w:t>
            </w:r>
          </w:p>
        </w:tc>
        <w:tc>
          <w:tcPr>
            <w:tcW w:w="1299" w:type="pct"/>
            <w:tcBorders>
              <w:top w:val="nil"/>
              <w:left w:val="single" w:sz="4" w:space="0" w:color="FFFFFF"/>
              <w:bottom w:val="nil"/>
            </w:tcBorders>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$0</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ED2B37" w:rsidRDefault="00F925DE">
            <w:pPr>
              <w:spacing w:before="40" w:after="40" w:line="240" w:lineRule="auto"/>
              <w:rPr>
                <w:rFonts w:eastAsia="MS Mincho" w:cs="Times New Roman"/>
                <w:szCs w:val="22"/>
                <w:lang w:val="en-US"/>
              </w:rPr>
            </w:pPr>
            <w:r>
              <w:rPr>
                <w:b w:val="0"/>
                <w:lang w:val="en-US"/>
              </w:rPr>
              <w:t>Cooperative Bank Account</w:t>
            </w:r>
          </w:p>
        </w:tc>
        <w:tc>
          <w:tcPr>
            <w:tcW w:w="1299" w:type="pct"/>
            <w:tcBorders>
              <w:top w:val="nil"/>
              <w:left w:val="single" w:sz="4" w:space="0" w:color="FFFFFF"/>
              <w:bottom w:val="nil"/>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$0</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ED2B37" w:rsidRDefault="00F925DE">
            <w:pPr>
              <w:spacing w:before="40" w:after="40" w:line="240" w:lineRule="auto"/>
              <w:rPr>
                <w:rFonts w:eastAsia="MS Mincho" w:cs="Times New Roman"/>
                <w:szCs w:val="22"/>
                <w:lang w:val="en-US"/>
              </w:rPr>
            </w:pPr>
            <w:r>
              <w:rPr>
                <w:b w:val="0"/>
                <w:lang w:val="en-US"/>
              </w:rPr>
              <w:t>Funds for Committees/Shared</w:t>
            </w:r>
            <w:r>
              <w:rPr>
                <w:b w:val="0"/>
                <w:lang w:val="en-US"/>
              </w:rPr>
              <w:t xml:space="preserve"> Arrangements</w:t>
            </w:r>
          </w:p>
        </w:tc>
        <w:tc>
          <w:tcPr>
            <w:tcW w:w="1299" w:type="pct"/>
            <w:tcBorders>
              <w:top w:val="nil"/>
              <w:left w:val="single" w:sz="4" w:space="0" w:color="FFFFFF"/>
              <w:bottom w:val="nil"/>
            </w:tcBorders>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$12,050</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ED2B37" w:rsidRDefault="00F925DE">
            <w:pPr>
              <w:spacing w:before="40" w:after="40" w:line="240" w:lineRule="auto"/>
              <w:rPr>
                <w:rFonts w:eastAsia="MS Mincho" w:cs="Times New Roman"/>
                <w:szCs w:val="22"/>
                <w:lang w:val="en-US"/>
              </w:rPr>
            </w:pPr>
            <w:r>
              <w:rPr>
                <w:b w:val="0"/>
                <w:lang w:val="en-US"/>
              </w:rPr>
              <w:t>Repayable to the Department</w:t>
            </w:r>
          </w:p>
        </w:tc>
        <w:tc>
          <w:tcPr>
            <w:tcW w:w="1299" w:type="pct"/>
            <w:tcBorders>
              <w:top w:val="nil"/>
              <w:left w:val="single" w:sz="4" w:space="0" w:color="FFFFFF"/>
              <w:bottom w:val="nil"/>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$0</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ED2B37" w:rsidRDefault="00F925DE">
            <w:pPr>
              <w:spacing w:before="40" w:after="40" w:line="240" w:lineRule="auto"/>
              <w:rPr>
                <w:rFonts w:eastAsia="MS Mincho" w:cs="Times New Roman"/>
                <w:szCs w:val="22"/>
                <w:lang w:val="en-US"/>
              </w:rPr>
            </w:pPr>
            <w:r>
              <w:rPr>
                <w:b w:val="0"/>
                <w:lang w:val="en-US"/>
              </w:rPr>
              <w:t>Asset/Equipment Replacement &lt; 12 months</w:t>
            </w:r>
          </w:p>
        </w:tc>
        <w:tc>
          <w:tcPr>
            <w:tcW w:w="1299" w:type="pct"/>
            <w:tcBorders>
              <w:top w:val="nil"/>
              <w:left w:val="single" w:sz="4" w:space="0" w:color="FFFFFF"/>
              <w:bottom w:val="nil"/>
            </w:tcBorders>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$46,622</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ED2B37" w:rsidRDefault="00F925DE">
            <w:pPr>
              <w:spacing w:before="40" w:after="40" w:line="240" w:lineRule="auto"/>
              <w:rPr>
                <w:rFonts w:eastAsia="MS Mincho" w:cs="Times New Roman"/>
                <w:szCs w:val="22"/>
                <w:lang w:val="en-US"/>
              </w:rPr>
            </w:pPr>
            <w:r>
              <w:rPr>
                <w:b w:val="0"/>
                <w:lang w:val="en-US"/>
              </w:rPr>
              <w:t>Capital - Buildings/Grounds &lt; 12 months</w:t>
            </w:r>
          </w:p>
        </w:tc>
        <w:tc>
          <w:tcPr>
            <w:tcW w:w="1299" w:type="pct"/>
            <w:tcBorders>
              <w:top w:val="nil"/>
              <w:left w:val="single" w:sz="4" w:space="0" w:color="FFFFFF"/>
              <w:bottom w:val="nil"/>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$0</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ED2B37" w:rsidRDefault="00F925DE">
            <w:pPr>
              <w:spacing w:before="40" w:after="40" w:line="240" w:lineRule="auto"/>
              <w:rPr>
                <w:rFonts w:eastAsia="MS Mincho" w:cs="Times New Roman"/>
                <w:szCs w:val="22"/>
                <w:lang w:val="en-US"/>
              </w:rPr>
            </w:pPr>
            <w:r>
              <w:rPr>
                <w:b w:val="0"/>
                <w:lang w:val="en-US"/>
              </w:rPr>
              <w:t>Maintenance - Buildings/Grounds &lt; 12 months</w:t>
            </w:r>
          </w:p>
        </w:tc>
        <w:tc>
          <w:tcPr>
            <w:tcW w:w="1299" w:type="pct"/>
            <w:tcBorders>
              <w:top w:val="nil"/>
              <w:left w:val="single" w:sz="4" w:space="0" w:color="FFFFFF"/>
              <w:bottom w:val="nil"/>
            </w:tcBorders>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$57,104</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ED2B37" w:rsidRDefault="00F925DE">
            <w:pPr>
              <w:spacing w:before="40" w:after="40" w:line="240" w:lineRule="auto"/>
              <w:rPr>
                <w:rFonts w:eastAsia="MS Mincho" w:cs="Times New Roman"/>
                <w:szCs w:val="22"/>
                <w:lang w:val="en-US"/>
              </w:rPr>
            </w:pPr>
            <w:r>
              <w:rPr>
                <w:b w:val="0"/>
                <w:lang w:val="en-US"/>
              </w:rPr>
              <w:t>Asset/Equipment Replacement &gt; 12 months</w:t>
            </w:r>
          </w:p>
        </w:tc>
        <w:tc>
          <w:tcPr>
            <w:tcW w:w="1299" w:type="pct"/>
            <w:tcBorders>
              <w:top w:val="nil"/>
              <w:left w:val="single" w:sz="4" w:space="0" w:color="FFFFFF"/>
              <w:bottom w:val="nil"/>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$7,000</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auto"/>
            <w:noWrap/>
          </w:tcPr>
          <w:p w:rsidR="00ED2B37" w:rsidRDefault="00F925DE">
            <w:pPr>
              <w:spacing w:before="40" w:after="40" w:line="240" w:lineRule="auto"/>
              <w:rPr>
                <w:rFonts w:eastAsia="MS Mincho" w:cs="Times New Roman"/>
                <w:szCs w:val="22"/>
                <w:lang w:val="en-US"/>
              </w:rPr>
            </w:pPr>
            <w:r>
              <w:rPr>
                <w:b w:val="0"/>
                <w:lang w:val="en-US"/>
              </w:rPr>
              <w:t>Capital</w:t>
            </w:r>
            <w:r>
              <w:rPr>
                <w:b w:val="0"/>
                <w:lang w:val="en-US"/>
              </w:rPr>
              <w:t xml:space="preserve"> - Buildings/Grounds &gt; 12 months</w:t>
            </w:r>
          </w:p>
        </w:tc>
        <w:tc>
          <w:tcPr>
            <w:tcW w:w="1299" w:type="pct"/>
            <w:tcBorders>
              <w:top w:val="nil"/>
              <w:left w:val="single" w:sz="4" w:space="0" w:color="FFFFFF"/>
              <w:bottom w:val="nil"/>
            </w:tcBorders>
            <w:shd w:val="clear" w:color="auto" w:fill="auto"/>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$0</w:t>
            </w:r>
          </w:p>
        </w:tc>
      </w:tr>
      <w:tr w:rsidR="00873CFB" w:rsidTr="00873C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ED2B37" w:rsidRDefault="00F925DE">
            <w:pPr>
              <w:spacing w:before="40" w:after="40" w:line="240" w:lineRule="auto"/>
              <w:rPr>
                <w:rFonts w:eastAsia="MS Mincho" w:cs="Times New Roman"/>
                <w:szCs w:val="22"/>
                <w:lang w:val="en-US"/>
              </w:rPr>
            </w:pPr>
            <w:r>
              <w:rPr>
                <w:b w:val="0"/>
                <w:lang w:val="en-US"/>
              </w:rPr>
              <w:t>Maintenance - Buildings/Grounds &gt; 12 months</w:t>
            </w:r>
          </w:p>
        </w:tc>
        <w:tc>
          <w:tcPr>
            <w:tcW w:w="1299" w:type="pct"/>
            <w:tcBorders>
              <w:top w:val="nil"/>
              <w:left w:val="single" w:sz="4" w:space="0" w:color="FFFFFF"/>
              <w:bottom w:val="nil"/>
            </w:tcBorders>
            <w:shd w:val="clear" w:color="auto" w:fill="D9D9D9"/>
            <w:noWrap/>
            <w:vAlign w:val="center"/>
          </w:tcPr>
          <w:p w:rsidR="00ED2B37" w:rsidRDefault="00F925DE">
            <w:pPr>
              <w:jc w:val="right"/>
              <w:cnfStyle w:val="000000100000" w:firstRow="0" w:lastRow="0" w:firstColumn="0" w:lastColumn="0" w:oddVBand="0" w:evenVBand="0" w:oddHBand="1" w:evenHBand="0" w:firstRowFirstColumn="0" w:firstRowLastColumn="0" w:lastRowFirstColumn="0" w:lastRowLastColumn="0"/>
            </w:pPr>
            <w:r>
              <w:t>$0</w:t>
            </w:r>
          </w:p>
        </w:tc>
      </w:tr>
      <w:tr w:rsidR="00873CFB" w:rsidTr="00873C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single" w:sz="2" w:space="0" w:color="106CB5"/>
              <w:bottom w:val="single" w:sz="2" w:space="0" w:color="106CB5"/>
            </w:tcBorders>
            <w:noWrap/>
            <w:vAlign w:val="center"/>
            <w:hideMark/>
          </w:tcPr>
          <w:p w:rsidR="00ED2B37" w:rsidRDefault="00F925DE">
            <w:pPr>
              <w:spacing w:before="40" w:after="40" w:line="240" w:lineRule="auto"/>
              <w:rPr>
                <w:rFonts w:eastAsia="MS Mincho" w:cs="Times New Roman"/>
                <w:szCs w:val="22"/>
                <w:lang w:val="en-US"/>
              </w:rPr>
            </w:pPr>
            <w:r>
              <w:rPr>
                <w:rFonts w:eastAsia="MS Mincho" w:cs="Times New Roman"/>
                <w:bCs w:val="0"/>
                <w:szCs w:val="22"/>
                <w:lang w:val="en-US"/>
              </w:rPr>
              <w:t>Total Financial Commitments</w:t>
            </w:r>
          </w:p>
        </w:tc>
        <w:tc>
          <w:tcPr>
            <w:tcW w:w="1299" w:type="pct"/>
            <w:tcBorders>
              <w:top w:val="single" w:sz="2" w:space="0" w:color="106CB5"/>
              <w:bottom w:val="single" w:sz="2" w:space="0" w:color="106CB5"/>
            </w:tcBorders>
            <w:noWrap/>
            <w:vAlign w:val="center"/>
          </w:tcPr>
          <w:p w:rsidR="00ED2B37" w:rsidRDefault="00F925DE">
            <w:pPr>
              <w:jc w:val="right"/>
              <w:cnfStyle w:val="000000000000" w:firstRow="0" w:lastRow="0" w:firstColumn="0" w:lastColumn="0" w:oddVBand="0" w:evenVBand="0" w:oddHBand="0" w:evenHBand="0" w:firstRowFirstColumn="0" w:firstRowLastColumn="0" w:lastRowFirstColumn="0" w:lastRowLastColumn="0"/>
            </w:pPr>
            <w:r>
              <w:t>$314,326</w:t>
            </w:r>
          </w:p>
        </w:tc>
      </w:tr>
    </w:tbl>
    <w:p w:rsidR="00ED2B37" w:rsidRDefault="00F925DE">
      <w:pPr>
        <w:rPr>
          <w:rFonts w:eastAsia="MS Mincho"/>
        </w:rPr>
      </w:pPr>
    </w:p>
    <w:p w:rsidR="00ED2B37" w:rsidRDefault="00F925DE">
      <w:pPr>
        <w:rPr>
          <w:rFonts w:eastAsia="MS Mincho"/>
        </w:rPr>
      </w:pPr>
    </w:p>
    <w:p w:rsidR="00ED2B37" w:rsidRDefault="00F925DE">
      <w:pPr>
        <w:numPr>
          <w:ilvl w:val="0"/>
          <w:numId w:val="28"/>
        </w:numPr>
        <w:spacing w:after="0" w:line="240" w:lineRule="auto"/>
        <w:contextualSpacing/>
        <w:rPr>
          <w:rFonts w:eastAsia="MS Mincho"/>
        </w:rPr>
      </w:pPr>
      <w:r>
        <w:rPr>
          <w:rFonts w:eastAsia="MS Mincho"/>
        </w:rPr>
        <w:t>The equity funding reported above is a subset of the overall revenue reported by the school.</w:t>
      </w:r>
    </w:p>
    <w:p w:rsidR="00ED2B37" w:rsidRDefault="00F925DE">
      <w:pPr>
        <w:numPr>
          <w:ilvl w:val="0"/>
          <w:numId w:val="28"/>
        </w:numPr>
        <w:spacing w:after="0" w:line="240" w:lineRule="auto"/>
        <w:rPr>
          <w:rFonts w:eastAsia="MS Mincho"/>
        </w:rPr>
      </w:pPr>
      <w:r>
        <w:rPr>
          <w:rFonts w:eastAsia="MS Mincho"/>
        </w:rPr>
        <w:t>Student Resource Package Expenditure figures are as of 26 Feb 2020 and are subject to change during the reconciliation process.</w:t>
      </w:r>
    </w:p>
    <w:p w:rsidR="00ED2B37" w:rsidRDefault="00F925DE">
      <w:pPr>
        <w:numPr>
          <w:ilvl w:val="0"/>
          <w:numId w:val="28"/>
        </w:numPr>
        <w:spacing w:after="0" w:line="240" w:lineRule="auto"/>
        <w:rPr>
          <w:rFonts w:eastAsia="MS Mincho"/>
        </w:rPr>
      </w:pPr>
      <w:r>
        <w:rPr>
          <w:rFonts w:eastAsia="MS Mincho"/>
        </w:rPr>
        <w:t>Misc Expenses may include bank charges, health and personal development, administration charges, camp/excursion costs and taxati</w:t>
      </w:r>
      <w:r>
        <w:rPr>
          <w:rFonts w:eastAsia="MS Mincho"/>
        </w:rPr>
        <w:t xml:space="preserve">on charges. </w:t>
      </w:r>
    </w:p>
    <w:p w:rsidR="00ED2B37" w:rsidRDefault="00F925DE">
      <w:pPr>
        <w:numPr>
          <w:ilvl w:val="0"/>
          <w:numId w:val="28"/>
        </w:numPr>
        <w:spacing w:line="240" w:lineRule="auto"/>
        <w:ind w:left="357" w:hanging="357"/>
        <w:rPr>
          <w:rFonts w:eastAsia="MS Mincho"/>
        </w:rPr>
      </w:pPr>
      <w:r>
        <w:rPr>
          <w:rFonts w:eastAsia="MS Mincho"/>
        </w:rPr>
        <w:t>Salaries and Allowances refers to school-level payroll.</w:t>
      </w:r>
    </w:p>
    <w:p w:rsidR="00ED2B37" w:rsidRDefault="00F925DE">
      <w:pPr>
        <w:rPr>
          <w:rFonts w:eastAsia="MS Mincho"/>
          <w:i/>
        </w:rPr>
      </w:pPr>
      <w:r>
        <w:rPr>
          <w:rFonts w:eastAsia="MS Mincho"/>
          <w:i/>
        </w:rPr>
        <w:t>All funds received from the Department, or raised by the school, have been expended, or committed to subsequent years, to support the achievement of educational outcomes and other operati</w:t>
      </w:r>
      <w:r>
        <w:rPr>
          <w:rFonts w:eastAsia="MS Mincho"/>
          <w:i/>
        </w:rPr>
        <w:t>onal needs of the school, consistent with Department policies, School Council approvals and the intent/purposes for which funding was provided or raised.</w:t>
      </w:r>
    </w:p>
    <w:p w:rsidR="00ED2B37" w:rsidRDefault="00F925DE">
      <w:pPr>
        <w:pStyle w:val="ESHeading1"/>
        <w:rPr>
          <w:b w:val="0"/>
          <w:color w:val="auto"/>
          <w:sz w:val="18"/>
          <w:szCs w:val="18"/>
        </w:rPr>
      </w:pPr>
      <w:r>
        <w:rPr>
          <w:b w:val="0"/>
        </w:rPr>
        <w:br w:type="page"/>
      </w:r>
    </w:p>
    <w:p w:rsidR="00ED2B37" w:rsidRDefault="00F925DE">
      <w:pPr>
        <w:spacing w:line="340" w:lineRule="atLeast"/>
        <w:jc w:val="center"/>
        <w:outlineLvl w:val="0"/>
        <w:rPr>
          <w:rFonts w:eastAsia="MS Gothic" w:cs="Times New Roman"/>
          <w:b/>
          <w:spacing w:val="5"/>
          <w:kern w:val="28"/>
          <w:sz w:val="44"/>
          <w:szCs w:val="52"/>
        </w:rPr>
      </w:pPr>
      <w:r>
        <w:rPr>
          <w:rFonts w:eastAsia="MS Gothic" w:cs="Times New Roman"/>
          <w:b/>
          <w:spacing w:val="5"/>
          <w:kern w:val="28"/>
          <w:sz w:val="44"/>
          <w:szCs w:val="52"/>
        </w:rPr>
        <w:t>How to read the Annual Report</w:t>
      </w:r>
    </w:p>
    <w:p w:rsidR="00ED2B37" w:rsidRDefault="00F925DE">
      <w:pPr>
        <w:spacing w:before="240"/>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does the </w:t>
      </w:r>
      <w:r w:rsidRPr="005A2650">
        <w:rPr>
          <w:rFonts w:eastAsia="MS Gothic" w:cs="Times New Roman"/>
          <w:b/>
          <w:bCs/>
          <w:i/>
          <w:caps/>
          <w:color w:val="00008B"/>
          <w:sz w:val="20"/>
          <w:szCs w:val="20"/>
          <w:u w:val="single"/>
        </w:rPr>
        <w:t>About Our School</w:t>
      </w:r>
      <w:r>
        <w:rPr>
          <w:rFonts w:eastAsia="MS Gothic" w:cs="Times New Roman"/>
          <w:b/>
          <w:bCs/>
          <w:caps/>
          <w:color w:val="00008B"/>
          <w:sz w:val="20"/>
          <w:szCs w:val="20"/>
          <w:u w:val="single"/>
        </w:rPr>
        <w:t xml:space="preserve"> section refer to?</w:t>
      </w:r>
    </w:p>
    <w:p w:rsidR="00ED2B37" w:rsidRDefault="00F925DE">
      <w:pPr>
        <w:spacing w:after="0" w:line="240" w:lineRule="auto"/>
        <w:rPr>
          <w:rFonts w:eastAsia="MS Mincho"/>
        </w:rPr>
      </w:pPr>
      <w:r>
        <w:rPr>
          <w:rFonts w:eastAsia="MS Mincho"/>
        </w:rPr>
        <w:t xml:space="preserve">The About Our School </w:t>
      </w:r>
      <w:r>
        <w:rPr>
          <w:rFonts w:eastAsia="MS Mincho"/>
        </w:rPr>
        <w:t>page provides a brief background on the school, an outline of the school’s performance over the year and</w:t>
      </w:r>
    </w:p>
    <w:p w:rsidR="00ED2B37" w:rsidRDefault="00F925DE">
      <w:pPr>
        <w:rPr>
          <w:rFonts w:eastAsia="MS Mincho"/>
        </w:rPr>
      </w:pPr>
      <w:r>
        <w:rPr>
          <w:rFonts w:eastAsia="MS Mincho"/>
        </w:rPr>
        <w:t>plans for the future.</w:t>
      </w:r>
    </w:p>
    <w:p w:rsidR="00ED2B37" w:rsidRDefault="00F925DE">
      <w:pPr>
        <w:rPr>
          <w:rFonts w:eastAsia="MS Mincho"/>
        </w:rPr>
      </w:pPr>
      <w:r>
        <w:rPr>
          <w:rFonts w:eastAsia="MS Mincho"/>
        </w:rPr>
        <w:t>The ‘School Context’ describes the school’s vision, values and purpose. Details include the school’s geographic location, size an</w:t>
      </w:r>
      <w:r>
        <w:rPr>
          <w:rFonts w:eastAsia="MS Mincho"/>
        </w:rPr>
        <w:t>d structure, social characteristics, enrolment characteristics and special programs.</w:t>
      </w:r>
    </w:p>
    <w:p w:rsidR="00ED2B37" w:rsidRDefault="00F925DE">
      <w:pPr>
        <w:rPr>
          <w:rFonts w:eastAsia="MS Mincho"/>
        </w:rPr>
      </w:pPr>
      <w:r>
        <w:rPr>
          <w:rFonts w:eastAsia="MS Mincho"/>
        </w:rPr>
        <w:t>The ‘Framework for Improving Student Outcomes (FISO)’ section includes the improvement initiatives the school has selected and the progress they have made towards achievin</w:t>
      </w:r>
      <w:r>
        <w:rPr>
          <w:rFonts w:eastAsia="MS Mincho"/>
        </w:rPr>
        <w:t xml:space="preserve">g them.  </w:t>
      </w:r>
    </w:p>
    <w:p w:rsidR="00ED2B37" w:rsidRDefault="00F925DE">
      <w:pPr>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does the </w:t>
      </w:r>
      <w:r>
        <w:rPr>
          <w:rFonts w:eastAsia="MS Gothic" w:cs="Times New Roman"/>
          <w:b/>
          <w:bCs/>
          <w:i/>
          <w:caps/>
          <w:color w:val="00008B"/>
          <w:sz w:val="20"/>
          <w:szCs w:val="20"/>
          <w:u w:val="single"/>
        </w:rPr>
        <w:t>Performance Summary</w:t>
      </w:r>
      <w:r>
        <w:rPr>
          <w:rFonts w:eastAsia="MS Gothic" w:cs="Times New Roman"/>
          <w:b/>
          <w:bCs/>
          <w:caps/>
          <w:color w:val="00008B"/>
          <w:sz w:val="20"/>
          <w:szCs w:val="20"/>
          <w:u w:val="single"/>
        </w:rPr>
        <w:t xml:space="preserve"> section of this report refer to?</w:t>
      </w:r>
    </w:p>
    <w:p w:rsidR="00ED2B37" w:rsidRDefault="00F925DE">
      <w:pPr>
        <w:spacing w:after="0" w:line="276" w:lineRule="auto"/>
        <w:rPr>
          <w:rFonts w:eastAsia="Arial" w:cs="Times New Roman"/>
          <w:color w:val="000000"/>
          <w:szCs w:val="20"/>
        </w:rPr>
      </w:pPr>
      <w:r>
        <w:rPr>
          <w:rFonts w:eastAsia="Arial" w:cs="Times New Roman"/>
          <w:color w:val="000000"/>
          <w:szCs w:val="20"/>
        </w:rPr>
        <w:t>The Performance Summary reports on data in three key areas:</w:t>
      </w:r>
    </w:p>
    <w:p w:rsidR="00ED2B37" w:rsidRDefault="00F925DE">
      <w:pPr>
        <w:spacing w:before="120" w:after="0" w:line="276" w:lineRule="auto"/>
        <w:rPr>
          <w:rFonts w:eastAsia="Arial" w:cs="Times New Roman"/>
          <w:b/>
          <w:color w:val="000000"/>
          <w:szCs w:val="20"/>
        </w:rPr>
      </w:pPr>
      <w:r>
        <w:rPr>
          <w:rFonts w:eastAsia="Arial" w:cs="Times New Roman"/>
          <w:b/>
          <w:color w:val="000000"/>
          <w:szCs w:val="20"/>
        </w:rPr>
        <w:t>Achievement</w:t>
      </w:r>
    </w:p>
    <w:p w:rsidR="00ED2B37" w:rsidRDefault="00F925DE">
      <w:pPr>
        <w:numPr>
          <w:ilvl w:val="0"/>
          <w:numId w:val="29"/>
        </w:numPr>
        <w:spacing w:after="0" w:line="276" w:lineRule="auto"/>
        <w:rPr>
          <w:rFonts w:eastAsia="Arial" w:cs="Times New Roman"/>
          <w:color w:val="000000"/>
          <w:szCs w:val="20"/>
        </w:rPr>
      </w:pPr>
      <w:r>
        <w:rPr>
          <w:rFonts w:eastAsia="Arial" w:cs="Times New Roman"/>
          <w:color w:val="000000"/>
          <w:szCs w:val="20"/>
        </w:rPr>
        <w:t>student achievements in:</w:t>
      </w:r>
    </w:p>
    <w:p w:rsidR="00ED2B37" w:rsidRDefault="00F925DE">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English and Mathematics for National Literacy and Numeracy tests (NAPLAN)</w:t>
      </w:r>
    </w:p>
    <w:p w:rsidR="00ED2B37" w:rsidRDefault="00F925DE">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 xml:space="preserve">English </w:t>
      </w:r>
      <w:r>
        <w:rPr>
          <w:rFonts w:eastAsia="Arial" w:cs="Times New Roman"/>
          <w:color w:val="000000"/>
          <w:szCs w:val="20"/>
        </w:rPr>
        <w:t>and Mathematics for Teacher Judgements against the curriculum</w:t>
      </w:r>
    </w:p>
    <w:p w:rsidR="00ED2B37" w:rsidRDefault="00F925DE">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All subjects for Victorian Certificate of Education (VCE) examinations (secondary schools).</w:t>
      </w:r>
    </w:p>
    <w:p w:rsidR="00ED2B37" w:rsidRDefault="00F925DE">
      <w:pPr>
        <w:spacing w:before="120" w:after="0" w:line="276" w:lineRule="auto"/>
        <w:rPr>
          <w:rFonts w:eastAsia="Arial" w:cs="Times New Roman"/>
          <w:b/>
          <w:color w:val="000000"/>
          <w:szCs w:val="20"/>
        </w:rPr>
      </w:pPr>
      <w:r>
        <w:rPr>
          <w:rFonts w:eastAsia="Arial" w:cs="Times New Roman"/>
          <w:b/>
          <w:color w:val="000000"/>
          <w:szCs w:val="20"/>
        </w:rPr>
        <w:t>Engagement</w:t>
      </w:r>
    </w:p>
    <w:p w:rsidR="00ED2B37" w:rsidRDefault="00F925DE">
      <w:pPr>
        <w:numPr>
          <w:ilvl w:val="0"/>
          <w:numId w:val="29"/>
        </w:numPr>
        <w:spacing w:after="0" w:line="276" w:lineRule="auto"/>
        <w:rPr>
          <w:rFonts w:eastAsia="Arial" w:cs="Times New Roman"/>
          <w:color w:val="000000"/>
          <w:szCs w:val="20"/>
        </w:rPr>
      </w:pPr>
      <w:r>
        <w:rPr>
          <w:rFonts w:eastAsia="Arial" w:cs="Times New Roman"/>
          <w:color w:val="000000"/>
          <w:szCs w:val="20"/>
        </w:rPr>
        <w:t>student attendance and engagement at school, including:</w:t>
      </w:r>
    </w:p>
    <w:p w:rsidR="00ED2B37" w:rsidRDefault="00F925DE">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how many students leaving school go</w:t>
      </w:r>
      <w:r>
        <w:rPr>
          <w:rFonts w:eastAsia="Arial" w:cs="Times New Roman"/>
          <w:color w:val="000000"/>
          <w:szCs w:val="20"/>
        </w:rPr>
        <w:t xml:space="preserve"> on to further studies or full-time work (secondary, P-12 and specialist schools)</w:t>
      </w:r>
    </w:p>
    <w:p w:rsidR="00ED2B37" w:rsidRDefault="00F925DE">
      <w:pPr>
        <w:spacing w:before="120" w:after="0" w:line="276" w:lineRule="auto"/>
        <w:rPr>
          <w:rFonts w:eastAsia="Arial" w:cs="Times New Roman"/>
          <w:b/>
          <w:color w:val="000000"/>
          <w:szCs w:val="20"/>
        </w:rPr>
      </w:pPr>
      <w:r>
        <w:rPr>
          <w:rFonts w:eastAsia="Arial" w:cs="Times New Roman"/>
          <w:b/>
          <w:color w:val="000000"/>
          <w:szCs w:val="20"/>
        </w:rPr>
        <w:t>Wellbeing</w:t>
      </w:r>
    </w:p>
    <w:p w:rsidR="00ED2B37" w:rsidRDefault="00F925DE">
      <w:pPr>
        <w:numPr>
          <w:ilvl w:val="0"/>
          <w:numId w:val="31"/>
        </w:numPr>
        <w:spacing w:after="0" w:line="276" w:lineRule="auto"/>
        <w:rPr>
          <w:rFonts w:eastAsia="Arial" w:cs="Times New Roman"/>
          <w:color w:val="000000"/>
          <w:szCs w:val="20"/>
        </w:rPr>
      </w:pPr>
      <w:r>
        <w:rPr>
          <w:rFonts w:eastAsia="Arial" w:cs="Times New Roman"/>
          <w:color w:val="000000"/>
          <w:szCs w:val="20"/>
        </w:rPr>
        <w:t>Attitudes to School Survey (ATOSS) factors:</w:t>
      </w:r>
    </w:p>
    <w:p w:rsidR="00ED2B37" w:rsidRDefault="00F925DE">
      <w:pPr>
        <w:numPr>
          <w:ilvl w:val="1"/>
          <w:numId w:val="32"/>
        </w:numPr>
        <w:spacing w:after="0" w:line="276" w:lineRule="auto"/>
        <w:rPr>
          <w:rFonts w:eastAsia="Arial" w:cs="Times New Roman"/>
          <w:color w:val="000000"/>
          <w:szCs w:val="20"/>
        </w:rPr>
      </w:pPr>
      <w:r>
        <w:rPr>
          <w:rFonts w:eastAsia="Arial" w:cs="Times New Roman"/>
          <w:color w:val="000000"/>
          <w:szCs w:val="20"/>
        </w:rPr>
        <w:t>Sense of Connectedness</w:t>
      </w:r>
    </w:p>
    <w:p w:rsidR="00ED2B37" w:rsidRDefault="00F925DE">
      <w:pPr>
        <w:numPr>
          <w:ilvl w:val="1"/>
          <w:numId w:val="32"/>
        </w:numPr>
        <w:spacing w:after="0" w:line="276" w:lineRule="auto"/>
        <w:rPr>
          <w:rFonts w:eastAsia="Arial" w:cs="Times New Roman"/>
          <w:color w:val="000000"/>
          <w:szCs w:val="20"/>
        </w:rPr>
      </w:pPr>
      <w:r>
        <w:rPr>
          <w:rFonts w:eastAsia="Arial" w:cs="Times New Roman"/>
          <w:color w:val="000000"/>
          <w:szCs w:val="20"/>
        </w:rPr>
        <w:t>Management of Bullying</w:t>
      </w:r>
    </w:p>
    <w:p w:rsidR="00ED2B37" w:rsidRDefault="00F925DE">
      <w:pPr>
        <w:rPr>
          <w:rFonts w:eastAsia="MS Mincho"/>
        </w:rPr>
      </w:pPr>
      <w:r>
        <w:rPr>
          <w:rFonts w:eastAsia="MS Mincho"/>
        </w:rPr>
        <w:t>Results are displayed for the latest year, as well as the average of the l</w:t>
      </w:r>
      <w:r>
        <w:rPr>
          <w:rFonts w:eastAsia="MS Mincho"/>
        </w:rPr>
        <w:t>ast four years (where available).</w:t>
      </w:r>
    </w:p>
    <w:p w:rsidR="00ED2B37" w:rsidRDefault="00F925DE">
      <w:pPr>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does </w:t>
      </w:r>
      <w:r w:rsidRPr="005A2650">
        <w:rPr>
          <w:rFonts w:eastAsia="MS Gothic" w:cs="Times New Roman"/>
          <w:b/>
          <w:bCs/>
          <w:i/>
          <w:caps/>
          <w:color w:val="00008B"/>
          <w:sz w:val="20"/>
          <w:szCs w:val="20"/>
          <w:u w:val="single"/>
        </w:rPr>
        <w:t>SIMILAR School Comparison</w:t>
      </w:r>
      <w:r>
        <w:rPr>
          <w:rFonts w:eastAsia="MS Gothic" w:cs="Times New Roman"/>
          <w:b/>
          <w:bCs/>
          <w:caps/>
          <w:color w:val="00008B"/>
          <w:sz w:val="20"/>
          <w:szCs w:val="20"/>
          <w:u w:val="single"/>
        </w:rPr>
        <w:t xml:space="preserve"> refer to?</w:t>
      </w:r>
    </w:p>
    <w:p w:rsidR="00ED2B37" w:rsidRDefault="00F925DE">
      <w:pPr>
        <w:rPr>
          <w:rFonts w:eastAsia="MS Mincho"/>
        </w:rPr>
      </w:pPr>
      <w:r>
        <w:rPr>
          <w:rFonts w:eastAsia="Arial"/>
          <w:color w:val="000000"/>
        </w:rPr>
        <w:t>The Similar</w:t>
      </w:r>
      <w:r>
        <w:rPr>
          <w:rFonts w:eastAsia="Arial"/>
          <w:i/>
          <w:color w:val="000000"/>
        </w:rPr>
        <w:t xml:space="preserve"> </w:t>
      </w:r>
      <w:r>
        <w:rPr>
          <w:rFonts w:eastAsia="Arial"/>
          <w:color w:val="000000"/>
        </w:rPr>
        <w:t>School Comparison is a way of comparing this school’s performance to similar schools in Victoria.</w:t>
      </w:r>
    </w:p>
    <w:p w:rsidR="00ED2B37" w:rsidRDefault="00F925DE">
      <w:pPr>
        <w:rPr>
          <w:rFonts w:eastAsia="Arial"/>
          <w:color w:val="000000"/>
        </w:rPr>
      </w:pPr>
      <w:r>
        <w:rPr>
          <w:rFonts w:eastAsia="Arial"/>
          <w:color w:val="000000"/>
        </w:rPr>
        <w:t>Th</w:t>
      </w:r>
      <w:r>
        <w:rPr>
          <w:rFonts w:eastAsia="Arial"/>
          <w:color w:val="000000"/>
          <w:sz w:val="16"/>
        </w:rPr>
        <w:t>e</w:t>
      </w:r>
      <w:r>
        <w:rPr>
          <w:rFonts w:eastAsia="Arial"/>
          <w:color w:val="000000"/>
        </w:rPr>
        <w:t xml:space="preserve"> comparison measure takes into account the school’s socio-econo</w:t>
      </w:r>
      <w:r>
        <w:rPr>
          <w:rFonts w:eastAsia="Arial"/>
          <w:color w:val="000000"/>
        </w:rPr>
        <w:t>mic background of students, the number of non-English speaking students and the size and location of the school.</w:t>
      </w:r>
    </w:p>
    <w:p w:rsidR="00ED2B37" w:rsidRDefault="00F925DE">
      <w:pPr>
        <w:spacing w:after="240"/>
      </w:pPr>
      <w:r>
        <w:rPr>
          <w:rFonts w:eastAsia="Arial"/>
          <w:color w:val="000000"/>
        </w:rPr>
        <w:t>The Similar School Comparison</w:t>
      </w:r>
      <w:r>
        <w:rPr>
          <w:rFonts w:eastAsia="Arial"/>
          <w:i/>
          <w:color w:val="000000"/>
        </w:rPr>
        <w:t xml:space="preserve"> </w:t>
      </w:r>
      <w:r>
        <w:rPr>
          <w:rFonts w:eastAsia="Arial"/>
          <w:color w:val="000000"/>
        </w:rPr>
        <w:t>will identify if a school’s result is ‘</w:t>
      </w:r>
      <w:r>
        <w:rPr>
          <w:rFonts w:eastAsia="Arial"/>
          <w:b/>
          <w:color w:val="000000"/>
        </w:rPr>
        <w:t>Similar</w:t>
      </w:r>
      <w:r>
        <w:rPr>
          <w:rFonts w:eastAsia="Arial"/>
          <w:color w:val="000000"/>
        </w:rPr>
        <w:t>’, ‘</w:t>
      </w:r>
      <w:r>
        <w:rPr>
          <w:rFonts w:eastAsia="Arial"/>
          <w:b/>
          <w:color w:val="000000"/>
        </w:rPr>
        <w:t>Above</w:t>
      </w:r>
      <w:r>
        <w:rPr>
          <w:rFonts w:eastAsia="Arial"/>
          <w:color w:val="000000"/>
        </w:rPr>
        <w:t>’, or ‘</w:t>
      </w:r>
      <w:r>
        <w:rPr>
          <w:rFonts w:eastAsia="Arial"/>
          <w:b/>
          <w:color w:val="000000"/>
        </w:rPr>
        <w:t>Below</w:t>
      </w:r>
      <w:r>
        <w:rPr>
          <w:rFonts w:eastAsia="Arial"/>
          <w:color w:val="000000"/>
        </w:rPr>
        <w:t xml:space="preserve">’ relative to the similar schools group with </w:t>
      </w:r>
      <w:r>
        <w:rPr>
          <w:rFonts w:eastAsia="Arial"/>
          <w:color w:val="000000"/>
        </w:rPr>
        <w:t>similar characteristics and is available for latest year data only.</w:t>
      </w:r>
    </w:p>
    <w:p w:rsidR="00ED2B37" w:rsidRDefault="00F925DE">
      <w:pPr>
        <w:rPr>
          <w:rFonts w:eastAsia="MS Gothic" w:cs="Times New Roman"/>
          <w:b/>
          <w:bCs/>
          <w:caps/>
          <w:color w:val="00008B"/>
          <w:sz w:val="20"/>
          <w:szCs w:val="20"/>
          <w:u w:val="single"/>
        </w:rPr>
      </w:pPr>
      <w:r>
        <w:rPr>
          <w:rFonts w:eastAsia="MS Gothic" w:cs="Times New Roman"/>
          <w:b/>
          <w:bCs/>
          <w:caps/>
          <w:color w:val="00008B"/>
          <w:sz w:val="20"/>
          <w:szCs w:val="20"/>
          <w:u w:val="single"/>
        </w:rPr>
        <w:t>What does ‘</w:t>
      </w:r>
      <w:r w:rsidRPr="005A2650">
        <w:rPr>
          <w:rFonts w:eastAsia="MS Gothic" w:cs="Times New Roman"/>
          <w:b/>
          <w:bCs/>
          <w:i/>
          <w:caps/>
          <w:color w:val="00008B"/>
          <w:sz w:val="20"/>
          <w:szCs w:val="20"/>
          <w:u w:val="single"/>
        </w:rPr>
        <w:t>Data not available</w:t>
      </w:r>
      <w:r>
        <w:rPr>
          <w:rFonts w:eastAsia="MS Gothic" w:cs="Times New Roman"/>
          <w:b/>
          <w:bCs/>
          <w:caps/>
          <w:color w:val="00008B"/>
          <w:sz w:val="20"/>
          <w:szCs w:val="20"/>
          <w:u w:val="single"/>
        </w:rPr>
        <w:t>’ or ‘</w:t>
      </w:r>
      <w:r w:rsidRPr="005A2650">
        <w:rPr>
          <w:rFonts w:eastAsia="MS Gothic" w:cs="Times New Roman"/>
          <w:b/>
          <w:bCs/>
          <w:i/>
          <w:caps/>
          <w:color w:val="00008B"/>
          <w:sz w:val="20"/>
          <w:szCs w:val="20"/>
          <w:u w:val="single"/>
        </w:rPr>
        <w:t>np</w:t>
      </w:r>
      <w:r>
        <w:rPr>
          <w:rFonts w:eastAsia="MS Gothic" w:cs="Times New Roman"/>
          <w:b/>
          <w:bCs/>
          <w:caps/>
          <w:color w:val="00008B"/>
          <w:sz w:val="20"/>
          <w:szCs w:val="20"/>
          <w:u w:val="single"/>
        </w:rPr>
        <w:t>’ mean?</w:t>
      </w:r>
    </w:p>
    <w:p w:rsidR="00ED2B37" w:rsidRDefault="00F925DE">
      <w:pPr>
        <w:spacing w:line="240" w:lineRule="auto"/>
        <w:rPr>
          <w:rFonts w:eastAsia="Arial" w:cs="Times New Roman"/>
          <w:color w:val="000000"/>
          <w:szCs w:val="20"/>
        </w:rPr>
      </w:pPr>
      <w:r>
        <w:rPr>
          <w:rFonts w:eastAsia="Arial" w:cs="Times New Roman"/>
          <w:color w:val="000000"/>
          <w:szCs w:val="20"/>
        </w:rPr>
        <w:t>Some schools have too few students enrolled to provide data. There may be no students enrolled in some year levels so school comparisons are no</w:t>
      </w:r>
      <w:r>
        <w:rPr>
          <w:rFonts w:eastAsia="Arial" w:cs="Times New Roman"/>
          <w:color w:val="000000"/>
          <w:szCs w:val="20"/>
        </w:rPr>
        <w:t xml:space="preserve">t possible. </w:t>
      </w:r>
    </w:p>
    <w:p w:rsidR="00ED2B37" w:rsidRDefault="00F925DE">
      <w:pPr>
        <w:spacing w:line="240" w:lineRule="auto"/>
        <w:rPr>
          <w:rFonts w:eastAsia="Arial" w:cs="Times New Roman"/>
          <w:color w:val="000000"/>
          <w:szCs w:val="20"/>
        </w:rPr>
      </w:pPr>
      <w:r>
        <w:rPr>
          <w:rFonts w:eastAsia="Arial" w:cs="Times New Roman"/>
          <w:color w:val="000000"/>
          <w:szCs w:val="20"/>
        </w:rPr>
        <w:t xml:space="preserve">New schools have only the latest year of data and no comparative data from previous years. </w:t>
      </w:r>
    </w:p>
    <w:p w:rsidR="00ED2B37" w:rsidRDefault="00F925DE">
      <w:pPr>
        <w:spacing w:line="240" w:lineRule="auto"/>
        <w:rPr>
          <w:rFonts w:eastAsia="MS Mincho"/>
        </w:rPr>
      </w:pPr>
      <w:r>
        <w:rPr>
          <w:rFonts w:eastAsia="Arial" w:cs="Times New Roman"/>
          <w:color w:val="000000"/>
          <w:szCs w:val="20"/>
        </w:rPr>
        <w:t>The Department also recognises unique circumstances in Specialist, Select Entry, English Language</w:t>
      </w:r>
      <w:r>
        <w:rPr>
          <w:rFonts w:eastAsia="Arial" w:cs="Times New Roman"/>
          <w:color w:val="000000"/>
          <w:szCs w:val="20"/>
        </w:rPr>
        <w:t>,</w:t>
      </w:r>
      <w:r>
        <w:rPr>
          <w:rFonts w:eastAsia="Arial" w:cs="Times New Roman"/>
          <w:color w:val="000000"/>
          <w:szCs w:val="20"/>
        </w:rPr>
        <w:t xml:space="preserve"> Community Schools</w:t>
      </w:r>
      <w:r>
        <w:rPr>
          <w:rFonts w:eastAsia="Arial" w:cs="Times New Roman"/>
          <w:color w:val="000000"/>
          <w:szCs w:val="20"/>
        </w:rPr>
        <w:t xml:space="preserve"> and schools that changed school type recently,</w:t>
      </w:r>
      <w:r>
        <w:rPr>
          <w:rFonts w:eastAsia="Arial" w:cs="Times New Roman"/>
          <w:color w:val="000000"/>
          <w:szCs w:val="20"/>
        </w:rPr>
        <w:t xml:space="preserve"> where </w:t>
      </w:r>
      <w:r>
        <w:rPr>
          <w:rFonts w:eastAsia="MS Mincho"/>
        </w:rPr>
        <w:t>school-to-school comparisons are not appropriate.</w:t>
      </w:r>
    </w:p>
    <w:p w:rsidR="00ED2B37" w:rsidRDefault="00F925DE">
      <w:pPr>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is the </w:t>
      </w:r>
      <w:r w:rsidRPr="005A2650">
        <w:rPr>
          <w:rFonts w:eastAsia="MS Gothic" w:cs="Times New Roman"/>
          <w:b/>
          <w:bCs/>
          <w:i/>
          <w:caps/>
          <w:color w:val="00008B"/>
          <w:sz w:val="20"/>
          <w:szCs w:val="20"/>
          <w:u w:val="single"/>
        </w:rPr>
        <w:t>Victorian Curriculum</w:t>
      </w:r>
      <w:r>
        <w:rPr>
          <w:rFonts w:eastAsia="MS Gothic" w:cs="Times New Roman"/>
          <w:b/>
          <w:bCs/>
          <w:caps/>
          <w:color w:val="00008B"/>
          <w:sz w:val="20"/>
          <w:szCs w:val="20"/>
          <w:u w:val="single"/>
        </w:rPr>
        <w:t>?</w:t>
      </w:r>
    </w:p>
    <w:p w:rsidR="00ED2B37" w:rsidRDefault="00F925DE">
      <w:pPr>
        <w:spacing w:line="240" w:lineRule="auto"/>
        <w:rPr>
          <w:rFonts w:eastAsia="Arial"/>
          <w:color w:val="000000"/>
        </w:rPr>
      </w:pPr>
      <w:r>
        <w:rPr>
          <w:rFonts w:eastAsia="Arial"/>
          <w:color w:val="000000"/>
        </w:rPr>
        <w:t>The Victorian Curriculum F–10 sets out what every student should learn during his or her first eleven years of schooli</w:t>
      </w:r>
      <w:r>
        <w:rPr>
          <w:rFonts w:eastAsia="Arial"/>
          <w:color w:val="000000"/>
        </w:rPr>
        <w:t xml:space="preserve">ng. The curriculum is the common set of knowledge and skills required by students for life-long learning, social development and active and informed citizenship. </w:t>
      </w:r>
    </w:p>
    <w:p w:rsidR="00ED2B37" w:rsidRDefault="00F925DE">
      <w:pPr>
        <w:spacing w:line="240" w:lineRule="auto"/>
        <w:rPr>
          <w:rFonts w:eastAsia="MS Mincho"/>
        </w:rPr>
      </w:pPr>
      <w:r>
        <w:rPr>
          <w:rFonts w:eastAsia="Arial"/>
          <w:color w:val="000000"/>
        </w:rPr>
        <w:t>The curriculum has been developed to ensure that school subjects and their achievement standa</w:t>
      </w:r>
      <w:r>
        <w:rPr>
          <w:rFonts w:eastAsia="Arial"/>
          <w:color w:val="000000"/>
        </w:rPr>
        <w:t>rds enable continuous learning for all students, including students with disabilities.</w:t>
      </w:r>
    </w:p>
    <w:p w:rsidR="00ED2B37" w:rsidRDefault="00F925DE">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ED2B37" w:rsidRDefault="00F925DE">
      <w:pPr>
        <w:spacing w:line="240" w:lineRule="auto"/>
        <w:rPr>
          <w:rFonts w:eastAsia="Arial"/>
          <w:color w:val="000000"/>
        </w:rPr>
      </w:pPr>
      <w:r>
        <w:rPr>
          <w:rFonts w:eastAsia="Arial"/>
          <w:color w:val="000000"/>
        </w:rPr>
        <w:t>‘Levels A to D’ may be used for stu</w:t>
      </w:r>
      <w:r>
        <w:rPr>
          <w:rFonts w:eastAsia="Arial"/>
          <w:color w:val="000000"/>
        </w:rPr>
        <w:t>dents with a disability or students who may have additional learning needs.</w:t>
      </w:r>
    </w:p>
    <w:p w:rsidR="00ED2B37" w:rsidRDefault="00F925DE">
      <w:pPr>
        <w:spacing w:line="240" w:lineRule="auto"/>
        <w:rPr>
          <w:i/>
        </w:rPr>
      </w:pPr>
      <w:r>
        <w:rPr>
          <w:rFonts w:eastAsia="Arial"/>
          <w:color w:val="000000"/>
        </w:rPr>
        <w:t>‘Levels A to D’ are not associated with any set age or year level that links chronological age to cognitive progress (i.e. there is no age expected standard of achievement for ‘Lev</w:t>
      </w:r>
      <w:r>
        <w:rPr>
          <w:rFonts w:eastAsia="Arial"/>
          <w:color w:val="000000"/>
        </w:rPr>
        <w:t>els A to D’).</w:t>
      </w:r>
    </w:p>
    <w:sectPr w:rsidR="00ED2B37">
      <w:headerReference w:type="default" r:id="rId27"/>
      <w:footerReference w:type="default" r:id="rId28"/>
      <w:headerReference w:type="first" r:id="rId29"/>
      <w:pgSz w:w="11900" w:h="16840"/>
      <w:pgMar w:top="1418" w:right="567" w:bottom="851" w:left="567" w:header="284" w:footer="46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25DE">
      <w:pPr>
        <w:spacing w:after="0" w:line="240" w:lineRule="auto"/>
      </w:pPr>
      <w:r>
        <w:separator/>
      </w:r>
    </w:p>
  </w:endnote>
  <w:endnote w:type="continuationSeparator" w:id="0">
    <w:p w:rsidR="00000000" w:rsidRDefault="00F9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F925D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F925DE"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F925DE"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7839E6" w:rsidRDefault="00F925DE" w:rsidP="00362A9C">
    <w:pPr>
      <w:pStyle w:val="ESImageorGraphTitle"/>
      <w:rPr>
        <w:b w:val="0"/>
        <w:sz w:val="15"/>
        <w:szCs w:val="15"/>
      </w:rPr>
    </w:pPr>
    <w:r w:rsidRPr="007839E6">
      <w:rPr>
        <w:b w:val="0"/>
        <w:noProof/>
        <w:sz w:val="15"/>
        <w:szCs w:val="15"/>
      </w:rPr>
      <w:t>Natimuk Primary School (1548)</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576DE" w:rsidRPr="007B2B29" w:rsidRDefault="00F925DE"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5</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928465"/>
      <w:docPartObj>
        <w:docPartGallery w:val="Page Numbers (Bottom of Page)"/>
        <w:docPartUnique/>
      </w:docPartObj>
    </w:sdtPr>
    <w:sdtEndPr>
      <w:rPr>
        <w:noProof/>
      </w:rPr>
    </w:sdtEndPr>
    <w:sdtContent>
      <w:p w:rsidR="00ED2B37" w:rsidRDefault="00F925DE">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25DE">
      <w:pPr>
        <w:spacing w:after="0" w:line="240" w:lineRule="auto"/>
      </w:pPr>
      <w:r>
        <w:separator/>
      </w:r>
    </w:p>
  </w:footnote>
  <w:footnote w:type="continuationSeparator" w:id="0">
    <w:p w:rsidR="00000000" w:rsidRDefault="00F9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F925DE">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F925D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F925DE">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F925D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F925DE">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F925D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F925DE">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F925D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FE3A95" w:rsidRDefault="00F925DE" w:rsidP="00FE3A95">
    <w:pPr>
      <w:jc w:val="right"/>
      <w:rPr>
        <w:sz w:val="22"/>
        <w:szCs w:val="22"/>
      </w:rPr>
    </w:pPr>
    <w:r w:rsidRPr="00FE3A95">
      <w:rPr>
        <w:noProof/>
        <w:sz w:val="22"/>
        <w:szCs w:val="22"/>
      </w:rPr>
      <w:t>Natimuk Primary School (1548)</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F925DE">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F925D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37" w:rsidRDefault="00F925DE">
    <w:pPr>
      <w:pStyle w:val="Header"/>
      <w:spacing w:before="240"/>
    </w:pPr>
    <w:r>
      <w:rPr>
        <w:noProof/>
        <w:lang w:val="en-AU" w:eastAsia="en-AU"/>
      </w:rPr>
      <w:drawing>
        <wp:inline distT="0" distB="0" distL="0" distR="0">
          <wp:extent cx="1471910" cy="512445"/>
          <wp:effectExtent l="0" t="0" r="0" b="1905"/>
          <wp:docPr id="735375536"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Natimuk Primary School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37" w:rsidRDefault="00F925DE">
    <w:pPr>
      <w:pStyle w:val="Header"/>
      <w:ind w:left="-993"/>
    </w:pPr>
    <w:r>
      <w:ptab w:relativeTo="margin" w:alignment="left" w:leader="none"/>
    </w:r>
  </w:p>
  <w:p w:rsidR="00ED2B37" w:rsidRDefault="00F92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06A65088">
      <w:start w:val="1"/>
      <w:numFmt w:val="bullet"/>
      <w:lvlText w:val=""/>
      <w:lvlJc w:val="left"/>
      <w:pPr>
        <w:ind w:left="720" w:hanging="360"/>
      </w:pPr>
      <w:rPr>
        <w:rFonts w:ascii="Symbol" w:hAnsi="Symbol" w:hint="default"/>
      </w:rPr>
    </w:lvl>
    <w:lvl w:ilvl="1" w:tplc="FE3E59AE" w:tentative="1">
      <w:start w:val="1"/>
      <w:numFmt w:val="bullet"/>
      <w:lvlText w:val="o"/>
      <w:lvlJc w:val="left"/>
      <w:pPr>
        <w:ind w:left="1440" w:hanging="360"/>
      </w:pPr>
      <w:rPr>
        <w:rFonts w:ascii="Courier New" w:hAnsi="Courier New" w:cs="Courier New" w:hint="default"/>
      </w:rPr>
    </w:lvl>
    <w:lvl w:ilvl="2" w:tplc="EC86924A" w:tentative="1">
      <w:start w:val="1"/>
      <w:numFmt w:val="bullet"/>
      <w:lvlText w:val=""/>
      <w:lvlJc w:val="left"/>
      <w:pPr>
        <w:ind w:left="2160" w:hanging="360"/>
      </w:pPr>
      <w:rPr>
        <w:rFonts w:ascii="Wingdings" w:hAnsi="Wingdings" w:hint="default"/>
      </w:rPr>
    </w:lvl>
    <w:lvl w:ilvl="3" w:tplc="A66AA810" w:tentative="1">
      <w:start w:val="1"/>
      <w:numFmt w:val="bullet"/>
      <w:lvlText w:val=""/>
      <w:lvlJc w:val="left"/>
      <w:pPr>
        <w:ind w:left="2880" w:hanging="360"/>
      </w:pPr>
      <w:rPr>
        <w:rFonts w:ascii="Symbol" w:hAnsi="Symbol" w:hint="default"/>
      </w:rPr>
    </w:lvl>
    <w:lvl w:ilvl="4" w:tplc="EC7CE478" w:tentative="1">
      <w:start w:val="1"/>
      <w:numFmt w:val="bullet"/>
      <w:lvlText w:val="o"/>
      <w:lvlJc w:val="left"/>
      <w:pPr>
        <w:ind w:left="3600" w:hanging="360"/>
      </w:pPr>
      <w:rPr>
        <w:rFonts w:ascii="Courier New" w:hAnsi="Courier New" w:cs="Courier New" w:hint="default"/>
      </w:rPr>
    </w:lvl>
    <w:lvl w:ilvl="5" w:tplc="783AEA5C" w:tentative="1">
      <w:start w:val="1"/>
      <w:numFmt w:val="bullet"/>
      <w:lvlText w:val=""/>
      <w:lvlJc w:val="left"/>
      <w:pPr>
        <w:ind w:left="4320" w:hanging="360"/>
      </w:pPr>
      <w:rPr>
        <w:rFonts w:ascii="Wingdings" w:hAnsi="Wingdings" w:hint="default"/>
      </w:rPr>
    </w:lvl>
    <w:lvl w:ilvl="6" w:tplc="7D12ABFE" w:tentative="1">
      <w:start w:val="1"/>
      <w:numFmt w:val="bullet"/>
      <w:lvlText w:val=""/>
      <w:lvlJc w:val="left"/>
      <w:pPr>
        <w:ind w:left="5040" w:hanging="360"/>
      </w:pPr>
      <w:rPr>
        <w:rFonts w:ascii="Symbol" w:hAnsi="Symbol" w:hint="default"/>
      </w:rPr>
    </w:lvl>
    <w:lvl w:ilvl="7" w:tplc="CA5264C6" w:tentative="1">
      <w:start w:val="1"/>
      <w:numFmt w:val="bullet"/>
      <w:lvlText w:val="o"/>
      <w:lvlJc w:val="left"/>
      <w:pPr>
        <w:ind w:left="5760" w:hanging="360"/>
      </w:pPr>
      <w:rPr>
        <w:rFonts w:ascii="Courier New" w:hAnsi="Courier New" w:cs="Courier New" w:hint="default"/>
      </w:rPr>
    </w:lvl>
    <w:lvl w:ilvl="8" w:tplc="92B493E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48649AE0">
      <w:start w:val="1"/>
      <w:numFmt w:val="bullet"/>
      <w:lvlText w:val=""/>
      <w:lvlJc w:val="left"/>
      <w:pPr>
        <w:ind w:left="720" w:hanging="360"/>
      </w:pPr>
      <w:rPr>
        <w:rFonts w:ascii="Symbol" w:hAnsi="Symbol" w:hint="default"/>
      </w:rPr>
    </w:lvl>
    <w:lvl w:ilvl="1" w:tplc="2FF093B8" w:tentative="1">
      <w:start w:val="1"/>
      <w:numFmt w:val="bullet"/>
      <w:lvlText w:val="o"/>
      <w:lvlJc w:val="left"/>
      <w:pPr>
        <w:ind w:left="1440" w:hanging="360"/>
      </w:pPr>
      <w:rPr>
        <w:rFonts w:ascii="Courier New" w:hAnsi="Courier New" w:cs="Courier New" w:hint="default"/>
      </w:rPr>
    </w:lvl>
    <w:lvl w:ilvl="2" w:tplc="A0A426F4" w:tentative="1">
      <w:start w:val="1"/>
      <w:numFmt w:val="bullet"/>
      <w:lvlText w:val=""/>
      <w:lvlJc w:val="left"/>
      <w:pPr>
        <w:ind w:left="2160" w:hanging="360"/>
      </w:pPr>
      <w:rPr>
        <w:rFonts w:ascii="Wingdings" w:hAnsi="Wingdings" w:hint="default"/>
      </w:rPr>
    </w:lvl>
    <w:lvl w:ilvl="3" w:tplc="BB4013D4" w:tentative="1">
      <w:start w:val="1"/>
      <w:numFmt w:val="bullet"/>
      <w:lvlText w:val=""/>
      <w:lvlJc w:val="left"/>
      <w:pPr>
        <w:ind w:left="2880" w:hanging="360"/>
      </w:pPr>
      <w:rPr>
        <w:rFonts w:ascii="Symbol" w:hAnsi="Symbol" w:hint="default"/>
      </w:rPr>
    </w:lvl>
    <w:lvl w:ilvl="4" w:tplc="18E68EC4" w:tentative="1">
      <w:start w:val="1"/>
      <w:numFmt w:val="bullet"/>
      <w:lvlText w:val="o"/>
      <w:lvlJc w:val="left"/>
      <w:pPr>
        <w:ind w:left="3600" w:hanging="360"/>
      </w:pPr>
      <w:rPr>
        <w:rFonts w:ascii="Courier New" w:hAnsi="Courier New" w:cs="Courier New" w:hint="default"/>
      </w:rPr>
    </w:lvl>
    <w:lvl w:ilvl="5" w:tplc="8BE09D04" w:tentative="1">
      <w:start w:val="1"/>
      <w:numFmt w:val="bullet"/>
      <w:lvlText w:val=""/>
      <w:lvlJc w:val="left"/>
      <w:pPr>
        <w:ind w:left="4320" w:hanging="360"/>
      </w:pPr>
      <w:rPr>
        <w:rFonts w:ascii="Wingdings" w:hAnsi="Wingdings" w:hint="default"/>
      </w:rPr>
    </w:lvl>
    <w:lvl w:ilvl="6" w:tplc="0980BF96" w:tentative="1">
      <w:start w:val="1"/>
      <w:numFmt w:val="bullet"/>
      <w:lvlText w:val=""/>
      <w:lvlJc w:val="left"/>
      <w:pPr>
        <w:ind w:left="5040" w:hanging="360"/>
      </w:pPr>
      <w:rPr>
        <w:rFonts w:ascii="Symbol" w:hAnsi="Symbol" w:hint="default"/>
      </w:rPr>
    </w:lvl>
    <w:lvl w:ilvl="7" w:tplc="873EF9BC" w:tentative="1">
      <w:start w:val="1"/>
      <w:numFmt w:val="bullet"/>
      <w:lvlText w:val="o"/>
      <w:lvlJc w:val="left"/>
      <w:pPr>
        <w:ind w:left="5760" w:hanging="360"/>
      </w:pPr>
      <w:rPr>
        <w:rFonts w:ascii="Courier New" w:hAnsi="Courier New" w:cs="Courier New" w:hint="default"/>
      </w:rPr>
    </w:lvl>
    <w:lvl w:ilvl="8" w:tplc="5BE6E916"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B0927756">
      <w:start w:val="1"/>
      <w:numFmt w:val="bullet"/>
      <w:pStyle w:val="ESBulletsinTable"/>
      <w:lvlText w:val=""/>
      <w:lvlJc w:val="left"/>
      <w:pPr>
        <w:ind w:left="360" w:hanging="360"/>
      </w:pPr>
      <w:rPr>
        <w:rFonts w:ascii="Symbol" w:hAnsi="Symbol" w:hint="default"/>
        <w:color w:val="AF272F"/>
      </w:rPr>
    </w:lvl>
    <w:lvl w:ilvl="1" w:tplc="B8D44C9A">
      <w:start w:val="1"/>
      <w:numFmt w:val="bullet"/>
      <w:pStyle w:val="ESBulletsinTableLevel2"/>
      <w:lvlText w:val="o"/>
      <w:lvlJc w:val="left"/>
      <w:pPr>
        <w:ind w:left="1440" w:hanging="360"/>
      </w:pPr>
      <w:rPr>
        <w:rFonts w:ascii="Courier New" w:hAnsi="Courier New" w:cs="Courier New" w:hint="default"/>
      </w:rPr>
    </w:lvl>
    <w:lvl w:ilvl="2" w:tplc="33023C08" w:tentative="1">
      <w:start w:val="1"/>
      <w:numFmt w:val="bullet"/>
      <w:lvlText w:val=""/>
      <w:lvlJc w:val="left"/>
      <w:pPr>
        <w:ind w:left="2160" w:hanging="360"/>
      </w:pPr>
      <w:rPr>
        <w:rFonts w:ascii="Wingdings" w:hAnsi="Wingdings" w:hint="default"/>
      </w:rPr>
    </w:lvl>
    <w:lvl w:ilvl="3" w:tplc="4E381AA0" w:tentative="1">
      <w:start w:val="1"/>
      <w:numFmt w:val="bullet"/>
      <w:lvlText w:val=""/>
      <w:lvlJc w:val="left"/>
      <w:pPr>
        <w:ind w:left="2880" w:hanging="360"/>
      </w:pPr>
      <w:rPr>
        <w:rFonts w:ascii="Symbol" w:hAnsi="Symbol" w:hint="default"/>
      </w:rPr>
    </w:lvl>
    <w:lvl w:ilvl="4" w:tplc="B590DA5C" w:tentative="1">
      <w:start w:val="1"/>
      <w:numFmt w:val="bullet"/>
      <w:lvlText w:val="o"/>
      <w:lvlJc w:val="left"/>
      <w:pPr>
        <w:ind w:left="3600" w:hanging="360"/>
      </w:pPr>
      <w:rPr>
        <w:rFonts w:ascii="Courier New" w:hAnsi="Courier New" w:cs="Courier New" w:hint="default"/>
      </w:rPr>
    </w:lvl>
    <w:lvl w:ilvl="5" w:tplc="87B6C016" w:tentative="1">
      <w:start w:val="1"/>
      <w:numFmt w:val="bullet"/>
      <w:lvlText w:val=""/>
      <w:lvlJc w:val="left"/>
      <w:pPr>
        <w:ind w:left="4320" w:hanging="360"/>
      </w:pPr>
      <w:rPr>
        <w:rFonts w:ascii="Wingdings" w:hAnsi="Wingdings" w:hint="default"/>
      </w:rPr>
    </w:lvl>
    <w:lvl w:ilvl="6" w:tplc="90F8155A" w:tentative="1">
      <w:start w:val="1"/>
      <w:numFmt w:val="bullet"/>
      <w:lvlText w:val=""/>
      <w:lvlJc w:val="left"/>
      <w:pPr>
        <w:ind w:left="5040" w:hanging="360"/>
      </w:pPr>
      <w:rPr>
        <w:rFonts w:ascii="Symbol" w:hAnsi="Symbol" w:hint="default"/>
      </w:rPr>
    </w:lvl>
    <w:lvl w:ilvl="7" w:tplc="6BDAF0F4" w:tentative="1">
      <w:start w:val="1"/>
      <w:numFmt w:val="bullet"/>
      <w:lvlText w:val="o"/>
      <w:lvlJc w:val="left"/>
      <w:pPr>
        <w:ind w:left="5760" w:hanging="360"/>
      </w:pPr>
      <w:rPr>
        <w:rFonts w:ascii="Courier New" w:hAnsi="Courier New" w:cs="Courier New" w:hint="default"/>
      </w:rPr>
    </w:lvl>
    <w:lvl w:ilvl="8" w:tplc="6DEEC11E"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A89E3AB2">
      <w:start w:val="1"/>
      <w:numFmt w:val="bullet"/>
      <w:lvlText w:val=""/>
      <w:lvlJc w:val="left"/>
      <w:pPr>
        <w:ind w:left="720" w:hanging="360"/>
      </w:pPr>
      <w:rPr>
        <w:rFonts w:ascii="Symbol" w:hAnsi="Symbol" w:hint="default"/>
      </w:rPr>
    </w:lvl>
    <w:lvl w:ilvl="1" w:tplc="21286750" w:tentative="1">
      <w:start w:val="1"/>
      <w:numFmt w:val="bullet"/>
      <w:lvlText w:val="o"/>
      <w:lvlJc w:val="left"/>
      <w:pPr>
        <w:ind w:left="1440" w:hanging="360"/>
      </w:pPr>
      <w:rPr>
        <w:rFonts w:ascii="Courier New" w:hAnsi="Courier New" w:cs="Courier New" w:hint="default"/>
      </w:rPr>
    </w:lvl>
    <w:lvl w:ilvl="2" w:tplc="BEC28D28" w:tentative="1">
      <w:start w:val="1"/>
      <w:numFmt w:val="bullet"/>
      <w:lvlText w:val=""/>
      <w:lvlJc w:val="left"/>
      <w:pPr>
        <w:ind w:left="2160" w:hanging="360"/>
      </w:pPr>
      <w:rPr>
        <w:rFonts w:ascii="Wingdings" w:hAnsi="Wingdings" w:hint="default"/>
      </w:rPr>
    </w:lvl>
    <w:lvl w:ilvl="3" w:tplc="CBCE3582" w:tentative="1">
      <w:start w:val="1"/>
      <w:numFmt w:val="bullet"/>
      <w:lvlText w:val=""/>
      <w:lvlJc w:val="left"/>
      <w:pPr>
        <w:ind w:left="2880" w:hanging="360"/>
      </w:pPr>
      <w:rPr>
        <w:rFonts w:ascii="Symbol" w:hAnsi="Symbol" w:hint="default"/>
      </w:rPr>
    </w:lvl>
    <w:lvl w:ilvl="4" w:tplc="37040CB2" w:tentative="1">
      <w:start w:val="1"/>
      <w:numFmt w:val="bullet"/>
      <w:lvlText w:val="o"/>
      <w:lvlJc w:val="left"/>
      <w:pPr>
        <w:ind w:left="3600" w:hanging="360"/>
      </w:pPr>
      <w:rPr>
        <w:rFonts w:ascii="Courier New" w:hAnsi="Courier New" w:cs="Courier New" w:hint="default"/>
      </w:rPr>
    </w:lvl>
    <w:lvl w:ilvl="5" w:tplc="68E46D1E" w:tentative="1">
      <w:start w:val="1"/>
      <w:numFmt w:val="bullet"/>
      <w:lvlText w:val=""/>
      <w:lvlJc w:val="left"/>
      <w:pPr>
        <w:ind w:left="4320" w:hanging="360"/>
      </w:pPr>
      <w:rPr>
        <w:rFonts w:ascii="Wingdings" w:hAnsi="Wingdings" w:hint="default"/>
      </w:rPr>
    </w:lvl>
    <w:lvl w:ilvl="6" w:tplc="7EE0EF60" w:tentative="1">
      <w:start w:val="1"/>
      <w:numFmt w:val="bullet"/>
      <w:lvlText w:val=""/>
      <w:lvlJc w:val="left"/>
      <w:pPr>
        <w:ind w:left="5040" w:hanging="360"/>
      </w:pPr>
      <w:rPr>
        <w:rFonts w:ascii="Symbol" w:hAnsi="Symbol" w:hint="default"/>
      </w:rPr>
    </w:lvl>
    <w:lvl w:ilvl="7" w:tplc="DBE221A4" w:tentative="1">
      <w:start w:val="1"/>
      <w:numFmt w:val="bullet"/>
      <w:lvlText w:val="o"/>
      <w:lvlJc w:val="left"/>
      <w:pPr>
        <w:ind w:left="5760" w:hanging="360"/>
      </w:pPr>
      <w:rPr>
        <w:rFonts w:ascii="Courier New" w:hAnsi="Courier New" w:cs="Courier New" w:hint="default"/>
      </w:rPr>
    </w:lvl>
    <w:lvl w:ilvl="8" w:tplc="D8E09B32"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573AB1A0">
      <w:start w:val="1"/>
      <w:numFmt w:val="bullet"/>
      <w:lvlText w:val=""/>
      <w:lvlJc w:val="left"/>
      <w:pPr>
        <w:ind w:left="180" w:hanging="360"/>
      </w:pPr>
      <w:rPr>
        <w:rFonts w:ascii="Symbol" w:hAnsi="Symbol" w:hint="default"/>
      </w:rPr>
    </w:lvl>
    <w:lvl w:ilvl="1" w:tplc="E58E13FA" w:tentative="1">
      <w:start w:val="1"/>
      <w:numFmt w:val="bullet"/>
      <w:lvlText w:val="o"/>
      <w:lvlJc w:val="left"/>
      <w:pPr>
        <w:ind w:left="900" w:hanging="360"/>
      </w:pPr>
      <w:rPr>
        <w:rFonts w:ascii="Courier New" w:hAnsi="Courier New" w:cs="Courier New" w:hint="default"/>
      </w:rPr>
    </w:lvl>
    <w:lvl w:ilvl="2" w:tplc="CED2E4F6" w:tentative="1">
      <w:start w:val="1"/>
      <w:numFmt w:val="bullet"/>
      <w:lvlText w:val=""/>
      <w:lvlJc w:val="left"/>
      <w:pPr>
        <w:ind w:left="1620" w:hanging="360"/>
      </w:pPr>
      <w:rPr>
        <w:rFonts w:ascii="Wingdings" w:hAnsi="Wingdings" w:hint="default"/>
      </w:rPr>
    </w:lvl>
    <w:lvl w:ilvl="3" w:tplc="40964D08" w:tentative="1">
      <w:start w:val="1"/>
      <w:numFmt w:val="bullet"/>
      <w:lvlText w:val=""/>
      <w:lvlJc w:val="left"/>
      <w:pPr>
        <w:ind w:left="2340" w:hanging="360"/>
      </w:pPr>
      <w:rPr>
        <w:rFonts w:ascii="Symbol" w:hAnsi="Symbol" w:hint="default"/>
      </w:rPr>
    </w:lvl>
    <w:lvl w:ilvl="4" w:tplc="A39AED42" w:tentative="1">
      <w:start w:val="1"/>
      <w:numFmt w:val="bullet"/>
      <w:lvlText w:val="o"/>
      <w:lvlJc w:val="left"/>
      <w:pPr>
        <w:ind w:left="3060" w:hanging="360"/>
      </w:pPr>
      <w:rPr>
        <w:rFonts w:ascii="Courier New" w:hAnsi="Courier New" w:cs="Courier New" w:hint="default"/>
      </w:rPr>
    </w:lvl>
    <w:lvl w:ilvl="5" w:tplc="AD9490F2" w:tentative="1">
      <w:start w:val="1"/>
      <w:numFmt w:val="bullet"/>
      <w:lvlText w:val=""/>
      <w:lvlJc w:val="left"/>
      <w:pPr>
        <w:ind w:left="3780" w:hanging="360"/>
      </w:pPr>
      <w:rPr>
        <w:rFonts w:ascii="Wingdings" w:hAnsi="Wingdings" w:hint="default"/>
      </w:rPr>
    </w:lvl>
    <w:lvl w:ilvl="6" w:tplc="02D29C0C" w:tentative="1">
      <w:start w:val="1"/>
      <w:numFmt w:val="bullet"/>
      <w:lvlText w:val=""/>
      <w:lvlJc w:val="left"/>
      <w:pPr>
        <w:ind w:left="4500" w:hanging="360"/>
      </w:pPr>
      <w:rPr>
        <w:rFonts w:ascii="Symbol" w:hAnsi="Symbol" w:hint="default"/>
      </w:rPr>
    </w:lvl>
    <w:lvl w:ilvl="7" w:tplc="F0BA9960" w:tentative="1">
      <w:start w:val="1"/>
      <w:numFmt w:val="bullet"/>
      <w:lvlText w:val="o"/>
      <w:lvlJc w:val="left"/>
      <w:pPr>
        <w:ind w:left="5220" w:hanging="360"/>
      </w:pPr>
      <w:rPr>
        <w:rFonts w:ascii="Courier New" w:hAnsi="Courier New" w:cs="Courier New" w:hint="default"/>
      </w:rPr>
    </w:lvl>
    <w:lvl w:ilvl="8" w:tplc="68143FE0"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D9A66EC4">
      <w:start w:val="1"/>
      <w:numFmt w:val="bullet"/>
      <w:lvlText w:val=""/>
      <w:lvlJc w:val="left"/>
      <w:pPr>
        <w:ind w:left="720" w:hanging="360"/>
      </w:pPr>
      <w:rPr>
        <w:rFonts w:ascii="Symbol" w:hAnsi="Symbol" w:hint="default"/>
      </w:rPr>
    </w:lvl>
    <w:lvl w:ilvl="1" w:tplc="DDB2B1F2" w:tentative="1">
      <w:start w:val="1"/>
      <w:numFmt w:val="bullet"/>
      <w:lvlText w:val="o"/>
      <w:lvlJc w:val="left"/>
      <w:pPr>
        <w:ind w:left="1440" w:hanging="360"/>
      </w:pPr>
      <w:rPr>
        <w:rFonts w:ascii="Courier New" w:hAnsi="Courier New" w:cs="Courier New" w:hint="default"/>
      </w:rPr>
    </w:lvl>
    <w:lvl w:ilvl="2" w:tplc="26BC85FA" w:tentative="1">
      <w:start w:val="1"/>
      <w:numFmt w:val="bullet"/>
      <w:lvlText w:val=""/>
      <w:lvlJc w:val="left"/>
      <w:pPr>
        <w:ind w:left="2160" w:hanging="360"/>
      </w:pPr>
      <w:rPr>
        <w:rFonts w:ascii="Wingdings" w:hAnsi="Wingdings" w:hint="default"/>
      </w:rPr>
    </w:lvl>
    <w:lvl w:ilvl="3" w:tplc="611E3B2A" w:tentative="1">
      <w:start w:val="1"/>
      <w:numFmt w:val="bullet"/>
      <w:lvlText w:val=""/>
      <w:lvlJc w:val="left"/>
      <w:pPr>
        <w:ind w:left="2880" w:hanging="360"/>
      </w:pPr>
      <w:rPr>
        <w:rFonts w:ascii="Symbol" w:hAnsi="Symbol" w:hint="default"/>
      </w:rPr>
    </w:lvl>
    <w:lvl w:ilvl="4" w:tplc="03E23310" w:tentative="1">
      <w:start w:val="1"/>
      <w:numFmt w:val="bullet"/>
      <w:lvlText w:val="o"/>
      <w:lvlJc w:val="left"/>
      <w:pPr>
        <w:ind w:left="3600" w:hanging="360"/>
      </w:pPr>
      <w:rPr>
        <w:rFonts w:ascii="Courier New" w:hAnsi="Courier New" w:cs="Courier New" w:hint="default"/>
      </w:rPr>
    </w:lvl>
    <w:lvl w:ilvl="5" w:tplc="7CF414CC" w:tentative="1">
      <w:start w:val="1"/>
      <w:numFmt w:val="bullet"/>
      <w:lvlText w:val=""/>
      <w:lvlJc w:val="left"/>
      <w:pPr>
        <w:ind w:left="4320" w:hanging="360"/>
      </w:pPr>
      <w:rPr>
        <w:rFonts w:ascii="Wingdings" w:hAnsi="Wingdings" w:hint="default"/>
      </w:rPr>
    </w:lvl>
    <w:lvl w:ilvl="6" w:tplc="4F0274B8" w:tentative="1">
      <w:start w:val="1"/>
      <w:numFmt w:val="bullet"/>
      <w:lvlText w:val=""/>
      <w:lvlJc w:val="left"/>
      <w:pPr>
        <w:ind w:left="5040" w:hanging="360"/>
      </w:pPr>
      <w:rPr>
        <w:rFonts w:ascii="Symbol" w:hAnsi="Symbol" w:hint="default"/>
      </w:rPr>
    </w:lvl>
    <w:lvl w:ilvl="7" w:tplc="1826A9C6" w:tentative="1">
      <w:start w:val="1"/>
      <w:numFmt w:val="bullet"/>
      <w:lvlText w:val="o"/>
      <w:lvlJc w:val="left"/>
      <w:pPr>
        <w:ind w:left="5760" w:hanging="360"/>
      </w:pPr>
      <w:rPr>
        <w:rFonts w:ascii="Courier New" w:hAnsi="Courier New" w:cs="Courier New" w:hint="default"/>
      </w:rPr>
    </w:lvl>
    <w:lvl w:ilvl="8" w:tplc="94A4FBC0"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FDA440CE">
      <w:start w:val="1"/>
      <w:numFmt w:val="bullet"/>
      <w:lvlText w:val=""/>
      <w:lvlJc w:val="left"/>
      <w:pPr>
        <w:ind w:left="180" w:hanging="360"/>
      </w:pPr>
      <w:rPr>
        <w:rFonts w:ascii="Symbol" w:hAnsi="Symbol" w:hint="default"/>
      </w:rPr>
    </w:lvl>
    <w:lvl w:ilvl="1" w:tplc="9C807F90" w:tentative="1">
      <w:start w:val="1"/>
      <w:numFmt w:val="bullet"/>
      <w:lvlText w:val="o"/>
      <w:lvlJc w:val="left"/>
      <w:pPr>
        <w:ind w:left="900" w:hanging="360"/>
      </w:pPr>
      <w:rPr>
        <w:rFonts w:ascii="Courier New" w:hAnsi="Courier New" w:cs="Courier New" w:hint="default"/>
      </w:rPr>
    </w:lvl>
    <w:lvl w:ilvl="2" w:tplc="4D46FAC4" w:tentative="1">
      <w:start w:val="1"/>
      <w:numFmt w:val="bullet"/>
      <w:lvlText w:val=""/>
      <w:lvlJc w:val="left"/>
      <w:pPr>
        <w:ind w:left="1620" w:hanging="360"/>
      </w:pPr>
      <w:rPr>
        <w:rFonts w:ascii="Wingdings" w:hAnsi="Wingdings" w:hint="default"/>
      </w:rPr>
    </w:lvl>
    <w:lvl w:ilvl="3" w:tplc="F850D9C0" w:tentative="1">
      <w:start w:val="1"/>
      <w:numFmt w:val="bullet"/>
      <w:lvlText w:val=""/>
      <w:lvlJc w:val="left"/>
      <w:pPr>
        <w:ind w:left="2340" w:hanging="360"/>
      </w:pPr>
      <w:rPr>
        <w:rFonts w:ascii="Symbol" w:hAnsi="Symbol" w:hint="default"/>
      </w:rPr>
    </w:lvl>
    <w:lvl w:ilvl="4" w:tplc="1A3AAB68" w:tentative="1">
      <w:start w:val="1"/>
      <w:numFmt w:val="bullet"/>
      <w:lvlText w:val="o"/>
      <w:lvlJc w:val="left"/>
      <w:pPr>
        <w:ind w:left="3060" w:hanging="360"/>
      </w:pPr>
      <w:rPr>
        <w:rFonts w:ascii="Courier New" w:hAnsi="Courier New" w:cs="Courier New" w:hint="default"/>
      </w:rPr>
    </w:lvl>
    <w:lvl w:ilvl="5" w:tplc="34EEE0F8" w:tentative="1">
      <w:start w:val="1"/>
      <w:numFmt w:val="bullet"/>
      <w:lvlText w:val=""/>
      <w:lvlJc w:val="left"/>
      <w:pPr>
        <w:ind w:left="3780" w:hanging="360"/>
      </w:pPr>
      <w:rPr>
        <w:rFonts w:ascii="Wingdings" w:hAnsi="Wingdings" w:hint="default"/>
      </w:rPr>
    </w:lvl>
    <w:lvl w:ilvl="6" w:tplc="4F48E70A" w:tentative="1">
      <w:start w:val="1"/>
      <w:numFmt w:val="bullet"/>
      <w:lvlText w:val=""/>
      <w:lvlJc w:val="left"/>
      <w:pPr>
        <w:ind w:left="4500" w:hanging="360"/>
      </w:pPr>
      <w:rPr>
        <w:rFonts w:ascii="Symbol" w:hAnsi="Symbol" w:hint="default"/>
      </w:rPr>
    </w:lvl>
    <w:lvl w:ilvl="7" w:tplc="1174F96A" w:tentative="1">
      <w:start w:val="1"/>
      <w:numFmt w:val="bullet"/>
      <w:lvlText w:val="o"/>
      <w:lvlJc w:val="left"/>
      <w:pPr>
        <w:ind w:left="5220" w:hanging="360"/>
      </w:pPr>
      <w:rPr>
        <w:rFonts w:ascii="Courier New" w:hAnsi="Courier New" w:cs="Courier New" w:hint="default"/>
      </w:rPr>
    </w:lvl>
    <w:lvl w:ilvl="8" w:tplc="1FB47C70"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88687E16">
      <w:start w:val="1"/>
      <w:numFmt w:val="bullet"/>
      <w:lvlText w:val=""/>
      <w:lvlJc w:val="left"/>
      <w:pPr>
        <w:ind w:left="720" w:hanging="360"/>
      </w:pPr>
      <w:rPr>
        <w:rFonts w:ascii="Symbol" w:hAnsi="Symbol" w:hint="default"/>
      </w:rPr>
    </w:lvl>
    <w:lvl w:ilvl="1" w:tplc="8F82179E" w:tentative="1">
      <w:start w:val="1"/>
      <w:numFmt w:val="bullet"/>
      <w:lvlText w:val="o"/>
      <w:lvlJc w:val="left"/>
      <w:pPr>
        <w:ind w:left="1440" w:hanging="360"/>
      </w:pPr>
      <w:rPr>
        <w:rFonts w:ascii="Courier New" w:hAnsi="Courier New" w:cs="Courier New" w:hint="default"/>
      </w:rPr>
    </w:lvl>
    <w:lvl w:ilvl="2" w:tplc="57224CDC" w:tentative="1">
      <w:start w:val="1"/>
      <w:numFmt w:val="bullet"/>
      <w:lvlText w:val=""/>
      <w:lvlJc w:val="left"/>
      <w:pPr>
        <w:ind w:left="2160" w:hanging="360"/>
      </w:pPr>
      <w:rPr>
        <w:rFonts w:ascii="Wingdings" w:hAnsi="Wingdings" w:hint="default"/>
      </w:rPr>
    </w:lvl>
    <w:lvl w:ilvl="3" w:tplc="FED4A97C" w:tentative="1">
      <w:start w:val="1"/>
      <w:numFmt w:val="bullet"/>
      <w:lvlText w:val=""/>
      <w:lvlJc w:val="left"/>
      <w:pPr>
        <w:ind w:left="2880" w:hanging="360"/>
      </w:pPr>
      <w:rPr>
        <w:rFonts w:ascii="Symbol" w:hAnsi="Symbol" w:hint="default"/>
      </w:rPr>
    </w:lvl>
    <w:lvl w:ilvl="4" w:tplc="9A9A80DA" w:tentative="1">
      <w:start w:val="1"/>
      <w:numFmt w:val="bullet"/>
      <w:lvlText w:val="o"/>
      <w:lvlJc w:val="left"/>
      <w:pPr>
        <w:ind w:left="3600" w:hanging="360"/>
      </w:pPr>
      <w:rPr>
        <w:rFonts w:ascii="Courier New" w:hAnsi="Courier New" w:cs="Courier New" w:hint="default"/>
      </w:rPr>
    </w:lvl>
    <w:lvl w:ilvl="5" w:tplc="CCE89AD0" w:tentative="1">
      <w:start w:val="1"/>
      <w:numFmt w:val="bullet"/>
      <w:lvlText w:val=""/>
      <w:lvlJc w:val="left"/>
      <w:pPr>
        <w:ind w:left="4320" w:hanging="360"/>
      </w:pPr>
      <w:rPr>
        <w:rFonts w:ascii="Wingdings" w:hAnsi="Wingdings" w:hint="default"/>
      </w:rPr>
    </w:lvl>
    <w:lvl w:ilvl="6" w:tplc="B56A3512" w:tentative="1">
      <w:start w:val="1"/>
      <w:numFmt w:val="bullet"/>
      <w:lvlText w:val=""/>
      <w:lvlJc w:val="left"/>
      <w:pPr>
        <w:ind w:left="5040" w:hanging="360"/>
      </w:pPr>
      <w:rPr>
        <w:rFonts w:ascii="Symbol" w:hAnsi="Symbol" w:hint="default"/>
      </w:rPr>
    </w:lvl>
    <w:lvl w:ilvl="7" w:tplc="82021E78" w:tentative="1">
      <w:start w:val="1"/>
      <w:numFmt w:val="bullet"/>
      <w:lvlText w:val="o"/>
      <w:lvlJc w:val="left"/>
      <w:pPr>
        <w:ind w:left="5760" w:hanging="360"/>
      </w:pPr>
      <w:rPr>
        <w:rFonts w:ascii="Courier New" w:hAnsi="Courier New" w:cs="Courier New" w:hint="default"/>
      </w:rPr>
    </w:lvl>
    <w:lvl w:ilvl="8" w:tplc="4C1E7CA8"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78CCCB6C"/>
    <w:lvl w:ilvl="0" w:tplc="4C6C1E3A">
      <w:numFmt w:val="bullet"/>
      <w:lvlText w:val="•"/>
      <w:lvlJc w:val="left"/>
      <w:pPr>
        <w:ind w:left="1080" w:hanging="720"/>
      </w:pPr>
      <w:rPr>
        <w:rFonts w:ascii="Arial" w:eastAsiaTheme="minorEastAsia" w:hAnsi="Arial" w:cs="Arial" w:hint="default"/>
      </w:rPr>
    </w:lvl>
    <w:lvl w:ilvl="1" w:tplc="21DE92BE" w:tentative="1">
      <w:start w:val="1"/>
      <w:numFmt w:val="bullet"/>
      <w:lvlText w:val="o"/>
      <w:lvlJc w:val="left"/>
      <w:pPr>
        <w:ind w:left="1440" w:hanging="360"/>
      </w:pPr>
      <w:rPr>
        <w:rFonts w:ascii="Courier New" w:hAnsi="Courier New" w:cs="Courier New" w:hint="default"/>
      </w:rPr>
    </w:lvl>
    <w:lvl w:ilvl="2" w:tplc="051A2364" w:tentative="1">
      <w:start w:val="1"/>
      <w:numFmt w:val="bullet"/>
      <w:lvlText w:val=""/>
      <w:lvlJc w:val="left"/>
      <w:pPr>
        <w:ind w:left="2160" w:hanging="360"/>
      </w:pPr>
      <w:rPr>
        <w:rFonts w:ascii="Wingdings" w:hAnsi="Wingdings" w:hint="default"/>
      </w:rPr>
    </w:lvl>
    <w:lvl w:ilvl="3" w:tplc="0256F520" w:tentative="1">
      <w:start w:val="1"/>
      <w:numFmt w:val="bullet"/>
      <w:lvlText w:val=""/>
      <w:lvlJc w:val="left"/>
      <w:pPr>
        <w:ind w:left="2880" w:hanging="360"/>
      </w:pPr>
      <w:rPr>
        <w:rFonts w:ascii="Symbol" w:hAnsi="Symbol" w:hint="default"/>
      </w:rPr>
    </w:lvl>
    <w:lvl w:ilvl="4" w:tplc="73784ED6" w:tentative="1">
      <w:start w:val="1"/>
      <w:numFmt w:val="bullet"/>
      <w:lvlText w:val="o"/>
      <w:lvlJc w:val="left"/>
      <w:pPr>
        <w:ind w:left="3600" w:hanging="360"/>
      </w:pPr>
      <w:rPr>
        <w:rFonts w:ascii="Courier New" w:hAnsi="Courier New" w:cs="Courier New" w:hint="default"/>
      </w:rPr>
    </w:lvl>
    <w:lvl w:ilvl="5" w:tplc="D7E4DA7C" w:tentative="1">
      <w:start w:val="1"/>
      <w:numFmt w:val="bullet"/>
      <w:lvlText w:val=""/>
      <w:lvlJc w:val="left"/>
      <w:pPr>
        <w:ind w:left="4320" w:hanging="360"/>
      </w:pPr>
      <w:rPr>
        <w:rFonts w:ascii="Wingdings" w:hAnsi="Wingdings" w:hint="default"/>
      </w:rPr>
    </w:lvl>
    <w:lvl w:ilvl="6" w:tplc="80C0E9A6" w:tentative="1">
      <w:start w:val="1"/>
      <w:numFmt w:val="bullet"/>
      <w:lvlText w:val=""/>
      <w:lvlJc w:val="left"/>
      <w:pPr>
        <w:ind w:left="5040" w:hanging="360"/>
      </w:pPr>
      <w:rPr>
        <w:rFonts w:ascii="Symbol" w:hAnsi="Symbol" w:hint="default"/>
      </w:rPr>
    </w:lvl>
    <w:lvl w:ilvl="7" w:tplc="41D047A0" w:tentative="1">
      <w:start w:val="1"/>
      <w:numFmt w:val="bullet"/>
      <w:lvlText w:val="o"/>
      <w:lvlJc w:val="left"/>
      <w:pPr>
        <w:ind w:left="5760" w:hanging="360"/>
      </w:pPr>
      <w:rPr>
        <w:rFonts w:ascii="Courier New" w:hAnsi="Courier New" w:cs="Courier New" w:hint="default"/>
      </w:rPr>
    </w:lvl>
    <w:lvl w:ilvl="8" w:tplc="4D982B3A"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0D76C286"/>
    <w:lvl w:ilvl="0" w:tplc="CC488346">
      <w:start w:val="1"/>
      <w:numFmt w:val="decimal"/>
      <w:lvlText w:val="%1."/>
      <w:lvlJc w:val="left"/>
      <w:pPr>
        <w:ind w:left="360" w:hanging="360"/>
      </w:pPr>
    </w:lvl>
    <w:lvl w:ilvl="1" w:tplc="910C135E" w:tentative="1">
      <w:start w:val="1"/>
      <w:numFmt w:val="lowerLetter"/>
      <w:lvlText w:val="%2."/>
      <w:lvlJc w:val="left"/>
      <w:pPr>
        <w:ind w:left="1080" w:hanging="360"/>
      </w:pPr>
    </w:lvl>
    <w:lvl w:ilvl="2" w:tplc="52725940" w:tentative="1">
      <w:start w:val="1"/>
      <w:numFmt w:val="lowerRoman"/>
      <w:lvlText w:val="%3."/>
      <w:lvlJc w:val="right"/>
      <w:pPr>
        <w:ind w:left="1800" w:hanging="180"/>
      </w:pPr>
    </w:lvl>
    <w:lvl w:ilvl="3" w:tplc="60DC3A50" w:tentative="1">
      <w:start w:val="1"/>
      <w:numFmt w:val="decimal"/>
      <w:lvlText w:val="%4."/>
      <w:lvlJc w:val="left"/>
      <w:pPr>
        <w:ind w:left="2520" w:hanging="360"/>
      </w:pPr>
    </w:lvl>
    <w:lvl w:ilvl="4" w:tplc="5C687EA6" w:tentative="1">
      <w:start w:val="1"/>
      <w:numFmt w:val="lowerLetter"/>
      <w:lvlText w:val="%5."/>
      <w:lvlJc w:val="left"/>
      <w:pPr>
        <w:ind w:left="3240" w:hanging="360"/>
      </w:pPr>
    </w:lvl>
    <w:lvl w:ilvl="5" w:tplc="40E4CA1C" w:tentative="1">
      <w:start w:val="1"/>
      <w:numFmt w:val="lowerRoman"/>
      <w:lvlText w:val="%6."/>
      <w:lvlJc w:val="right"/>
      <w:pPr>
        <w:ind w:left="3960" w:hanging="180"/>
      </w:pPr>
    </w:lvl>
    <w:lvl w:ilvl="6" w:tplc="08644056" w:tentative="1">
      <w:start w:val="1"/>
      <w:numFmt w:val="decimal"/>
      <w:lvlText w:val="%7."/>
      <w:lvlJc w:val="left"/>
      <w:pPr>
        <w:ind w:left="4680" w:hanging="360"/>
      </w:pPr>
    </w:lvl>
    <w:lvl w:ilvl="7" w:tplc="A5C62882" w:tentative="1">
      <w:start w:val="1"/>
      <w:numFmt w:val="lowerLetter"/>
      <w:lvlText w:val="%8."/>
      <w:lvlJc w:val="left"/>
      <w:pPr>
        <w:ind w:left="5400" w:hanging="360"/>
      </w:pPr>
    </w:lvl>
    <w:lvl w:ilvl="8" w:tplc="6B68EDBC" w:tentative="1">
      <w:start w:val="1"/>
      <w:numFmt w:val="lowerRoman"/>
      <w:lvlText w:val="%9."/>
      <w:lvlJc w:val="right"/>
      <w:pPr>
        <w:ind w:left="6120" w:hanging="180"/>
      </w:pPr>
    </w:lvl>
  </w:abstractNum>
  <w:abstractNum w:abstractNumId="28" w15:restartNumberingAfterBreak="0">
    <w:nsid w:val="7FCB6DE3"/>
    <w:multiLevelType w:val="hybridMultilevel"/>
    <w:tmpl w:val="BDA61AAC"/>
    <w:lvl w:ilvl="0" w:tplc="650281A2">
      <w:start w:val="1"/>
      <w:numFmt w:val="bullet"/>
      <w:lvlText w:val=""/>
      <w:lvlJc w:val="left"/>
      <w:pPr>
        <w:ind w:left="720" w:hanging="360"/>
      </w:pPr>
      <w:rPr>
        <w:rFonts w:ascii="Symbol" w:hAnsi="Symbol" w:hint="default"/>
      </w:rPr>
    </w:lvl>
    <w:lvl w:ilvl="1" w:tplc="BCC0A422">
      <w:start w:val="1"/>
      <w:numFmt w:val="bullet"/>
      <w:lvlText w:val="o"/>
      <w:lvlJc w:val="left"/>
      <w:pPr>
        <w:ind w:left="1440" w:hanging="360"/>
      </w:pPr>
      <w:rPr>
        <w:rFonts w:ascii="Courier New" w:hAnsi="Courier New" w:cs="Courier New" w:hint="default"/>
      </w:rPr>
    </w:lvl>
    <w:lvl w:ilvl="2" w:tplc="40707B8A" w:tentative="1">
      <w:start w:val="1"/>
      <w:numFmt w:val="bullet"/>
      <w:lvlText w:val=""/>
      <w:lvlJc w:val="left"/>
      <w:pPr>
        <w:ind w:left="2160" w:hanging="360"/>
      </w:pPr>
      <w:rPr>
        <w:rFonts w:ascii="Wingdings" w:hAnsi="Wingdings" w:hint="default"/>
      </w:rPr>
    </w:lvl>
    <w:lvl w:ilvl="3" w:tplc="D8165806" w:tentative="1">
      <w:start w:val="1"/>
      <w:numFmt w:val="bullet"/>
      <w:lvlText w:val=""/>
      <w:lvlJc w:val="left"/>
      <w:pPr>
        <w:ind w:left="2880" w:hanging="360"/>
      </w:pPr>
      <w:rPr>
        <w:rFonts w:ascii="Symbol" w:hAnsi="Symbol" w:hint="default"/>
      </w:rPr>
    </w:lvl>
    <w:lvl w:ilvl="4" w:tplc="352067C0" w:tentative="1">
      <w:start w:val="1"/>
      <w:numFmt w:val="bullet"/>
      <w:lvlText w:val="o"/>
      <w:lvlJc w:val="left"/>
      <w:pPr>
        <w:ind w:left="3600" w:hanging="360"/>
      </w:pPr>
      <w:rPr>
        <w:rFonts w:ascii="Courier New" w:hAnsi="Courier New" w:cs="Courier New" w:hint="default"/>
      </w:rPr>
    </w:lvl>
    <w:lvl w:ilvl="5" w:tplc="890AB280" w:tentative="1">
      <w:start w:val="1"/>
      <w:numFmt w:val="bullet"/>
      <w:lvlText w:val=""/>
      <w:lvlJc w:val="left"/>
      <w:pPr>
        <w:ind w:left="4320" w:hanging="360"/>
      </w:pPr>
      <w:rPr>
        <w:rFonts w:ascii="Wingdings" w:hAnsi="Wingdings" w:hint="default"/>
      </w:rPr>
    </w:lvl>
    <w:lvl w:ilvl="6" w:tplc="53DCA3AC" w:tentative="1">
      <w:start w:val="1"/>
      <w:numFmt w:val="bullet"/>
      <w:lvlText w:val=""/>
      <w:lvlJc w:val="left"/>
      <w:pPr>
        <w:ind w:left="5040" w:hanging="360"/>
      </w:pPr>
      <w:rPr>
        <w:rFonts w:ascii="Symbol" w:hAnsi="Symbol" w:hint="default"/>
      </w:rPr>
    </w:lvl>
    <w:lvl w:ilvl="7" w:tplc="8B6E7766" w:tentative="1">
      <w:start w:val="1"/>
      <w:numFmt w:val="bullet"/>
      <w:lvlText w:val="o"/>
      <w:lvlJc w:val="left"/>
      <w:pPr>
        <w:ind w:left="5760" w:hanging="360"/>
      </w:pPr>
      <w:rPr>
        <w:rFonts w:ascii="Courier New" w:hAnsi="Courier New" w:cs="Courier New" w:hint="default"/>
      </w:rPr>
    </w:lvl>
    <w:lvl w:ilvl="8" w:tplc="02362CA0" w:tentative="1">
      <w:start w:val="1"/>
      <w:numFmt w:val="bullet"/>
      <w:lvlText w:val=""/>
      <w:lvlJc w:val="left"/>
      <w:pPr>
        <w:ind w:left="6480" w:hanging="360"/>
      </w:pPr>
      <w:rPr>
        <w:rFonts w:ascii="Wingdings" w:hAnsi="Wingdings" w:hint="default"/>
      </w:rPr>
    </w:lvl>
  </w:abstractNum>
  <w:abstractNum w:abstractNumId="29" w15:restartNumberingAfterBreak="0">
    <w:nsid w:val="7FCB6DE4"/>
    <w:multiLevelType w:val="hybridMultilevel"/>
    <w:tmpl w:val="5E7875AC"/>
    <w:lvl w:ilvl="0" w:tplc="8E861DDC">
      <w:numFmt w:val="bullet"/>
      <w:lvlText w:val="-"/>
      <w:lvlJc w:val="left"/>
      <w:pPr>
        <w:ind w:left="1440" w:hanging="360"/>
      </w:pPr>
      <w:rPr>
        <w:rFonts w:ascii="Arial" w:eastAsia="Arial" w:hAnsi="Arial" w:cs="Arial" w:hint="default"/>
      </w:rPr>
    </w:lvl>
    <w:lvl w:ilvl="1" w:tplc="F0FA4E48">
      <w:start w:val="1"/>
      <w:numFmt w:val="bullet"/>
      <w:lvlText w:val="o"/>
      <w:lvlJc w:val="left"/>
      <w:pPr>
        <w:ind w:left="2160" w:hanging="360"/>
      </w:pPr>
      <w:rPr>
        <w:rFonts w:ascii="Courier New" w:hAnsi="Courier New" w:cs="Courier New" w:hint="default"/>
      </w:rPr>
    </w:lvl>
    <w:lvl w:ilvl="2" w:tplc="B67E8310" w:tentative="1">
      <w:start w:val="1"/>
      <w:numFmt w:val="bullet"/>
      <w:lvlText w:val=""/>
      <w:lvlJc w:val="left"/>
      <w:pPr>
        <w:ind w:left="2880" w:hanging="360"/>
      </w:pPr>
      <w:rPr>
        <w:rFonts w:ascii="Wingdings" w:hAnsi="Wingdings" w:hint="default"/>
      </w:rPr>
    </w:lvl>
    <w:lvl w:ilvl="3" w:tplc="97E00C92" w:tentative="1">
      <w:start w:val="1"/>
      <w:numFmt w:val="bullet"/>
      <w:lvlText w:val=""/>
      <w:lvlJc w:val="left"/>
      <w:pPr>
        <w:ind w:left="3600" w:hanging="360"/>
      </w:pPr>
      <w:rPr>
        <w:rFonts w:ascii="Symbol" w:hAnsi="Symbol" w:hint="default"/>
      </w:rPr>
    </w:lvl>
    <w:lvl w:ilvl="4" w:tplc="819E0538" w:tentative="1">
      <w:start w:val="1"/>
      <w:numFmt w:val="bullet"/>
      <w:lvlText w:val="o"/>
      <w:lvlJc w:val="left"/>
      <w:pPr>
        <w:ind w:left="4320" w:hanging="360"/>
      </w:pPr>
      <w:rPr>
        <w:rFonts w:ascii="Courier New" w:hAnsi="Courier New" w:cs="Courier New" w:hint="default"/>
      </w:rPr>
    </w:lvl>
    <w:lvl w:ilvl="5" w:tplc="95741462" w:tentative="1">
      <w:start w:val="1"/>
      <w:numFmt w:val="bullet"/>
      <w:lvlText w:val=""/>
      <w:lvlJc w:val="left"/>
      <w:pPr>
        <w:ind w:left="5040" w:hanging="360"/>
      </w:pPr>
      <w:rPr>
        <w:rFonts w:ascii="Wingdings" w:hAnsi="Wingdings" w:hint="default"/>
      </w:rPr>
    </w:lvl>
    <w:lvl w:ilvl="6" w:tplc="474C9A74" w:tentative="1">
      <w:start w:val="1"/>
      <w:numFmt w:val="bullet"/>
      <w:lvlText w:val=""/>
      <w:lvlJc w:val="left"/>
      <w:pPr>
        <w:ind w:left="5760" w:hanging="360"/>
      </w:pPr>
      <w:rPr>
        <w:rFonts w:ascii="Symbol" w:hAnsi="Symbol" w:hint="default"/>
      </w:rPr>
    </w:lvl>
    <w:lvl w:ilvl="7" w:tplc="E6F4C08E" w:tentative="1">
      <w:start w:val="1"/>
      <w:numFmt w:val="bullet"/>
      <w:lvlText w:val="o"/>
      <w:lvlJc w:val="left"/>
      <w:pPr>
        <w:ind w:left="6480" w:hanging="360"/>
      </w:pPr>
      <w:rPr>
        <w:rFonts w:ascii="Courier New" w:hAnsi="Courier New" w:cs="Courier New" w:hint="default"/>
      </w:rPr>
    </w:lvl>
    <w:lvl w:ilvl="8" w:tplc="AB16FA98" w:tentative="1">
      <w:start w:val="1"/>
      <w:numFmt w:val="bullet"/>
      <w:lvlText w:val=""/>
      <w:lvlJc w:val="left"/>
      <w:pPr>
        <w:ind w:left="7200" w:hanging="360"/>
      </w:pPr>
      <w:rPr>
        <w:rFonts w:ascii="Wingdings" w:hAnsi="Wingdings" w:hint="default"/>
      </w:rPr>
    </w:lvl>
  </w:abstractNum>
  <w:abstractNum w:abstractNumId="30" w15:restartNumberingAfterBreak="0">
    <w:nsid w:val="7FCB6DE5"/>
    <w:multiLevelType w:val="hybridMultilevel"/>
    <w:tmpl w:val="8DB4C5EC"/>
    <w:lvl w:ilvl="0" w:tplc="29FACE2E">
      <w:start w:val="1"/>
      <w:numFmt w:val="bullet"/>
      <w:lvlText w:val=""/>
      <w:lvlJc w:val="left"/>
      <w:pPr>
        <w:ind w:left="720" w:hanging="360"/>
      </w:pPr>
      <w:rPr>
        <w:rFonts w:ascii="Symbol" w:hAnsi="Symbol" w:hint="default"/>
      </w:rPr>
    </w:lvl>
    <w:lvl w:ilvl="1" w:tplc="74E63496">
      <w:start w:val="1"/>
      <w:numFmt w:val="bullet"/>
      <w:lvlText w:val="o"/>
      <w:lvlJc w:val="left"/>
      <w:pPr>
        <w:ind w:left="1440" w:hanging="360"/>
      </w:pPr>
      <w:rPr>
        <w:rFonts w:ascii="Courier New" w:hAnsi="Courier New" w:cs="Courier New" w:hint="default"/>
      </w:rPr>
    </w:lvl>
    <w:lvl w:ilvl="2" w:tplc="D68896C6" w:tentative="1">
      <w:start w:val="1"/>
      <w:numFmt w:val="bullet"/>
      <w:lvlText w:val=""/>
      <w:lvlJc w:val="left"/>
      <w:pPr>
        <w:ind w:left="2160" w:hanging="360"/>
      </w:pPr>
      <w:rPr>
        <w:rFonts w:ascii="Wingdings" w:hAnsi="Wingdings" w:hint="default"/>
      </w:rPr>
    </w:lvl>
    <w:lvl w:ilvl="3" w:tplc="C910F058" w:tentative="1">
      <w:start w:val="1"/>
      <w:numFmt w:val="bullet"/>
      <w:lvlText w:val=""/>
      <w:lvlJc w:val="left"/>
      <w:pPr>
        <w:ind w:left="2880" w:hanging="360"/>
      </w:pPr>
      <w:rPr>
        <w:rFonts w:ascii="Symbol" w:hAnsi="Symbol" w:hint="default"/>
      </w:rPr>
    </w:lvl>
    <w:lvl w:ilvl="4" w:tplc="1FC6340C" w:tentative="1">
      <w:start w:val="1"/>
      <w:numFmt w:val="bullet"/>
      <w:lvlText w:val="o"/>
      <w:lvlJc w:val="left"/>
      <w:pPr>
        <w:ind w:left="3600" w:hanging="360"/>
      </w:pPr>
      <w:rPr>
        <w:rFonts w:ascii="Courier New" w:hAnsi="Courier New" w:cs="Courier New" w:hint="default"/>
      </w:rPr>
    </w:lvl>
    <w:lvl w:ilvl="5" w:tplc="2A1E087C" w:tentative="1">
      <w:start w:val="1"/>
      <w:numFmt w:val="bullet"/>
      <w:lvlText w:val=""/>
      <w:lvlJc w:val="left"/>
      <w:pPr>
        <w:ind w:left="4320" w:hanging="360"/>
      </w:pPr>
      <w:rPr>
        <w:rFonts w:ascii="Wingdings" w:hAnsi="Wingdings" w:hint="default"/>
      </w:rPr>
    </w:lvl>
    <w:lvl w:ilvl="6" w:tplc="C4688212" w:tentative="1">
      <w:start w:val="1"/>
      <w:numFmt w:val="bullet"/>
      <w:lvlText w:val=""/>
      <w:lvlJc w:val="left"/>
      <w:pPr>
        <w:ind w:left="5040" w:hanging="360"/>
      </w:pPr>
      <w:rPr>
        <w:rFonts w:ascii="Symbol" w:hAnsi="Symbol" w:hint="default"/>
      </w:rPr>
    </w:lvl>
    <w:lvl w:ilvl="7" w:tplc="62BC574E" w:tentative="1">
      <w:start w:val="1"/>
      <w:numFmt w:val="bullet"/>
      <w:lvlText w:val="o"/>
      <w:lvlJc w:val="left"/>
      <w:pPr>
        <w:ind w:left="5760" w:hanging="360"/>
      </w:pPr>
      <w:rPr>
        <w:rFonts w:ascii="Courier New" w:hAnsi="Courier New" w:cs="Courier New" w:hint="default"/>
      </w:rPr>
    </w:lvl>
    <w:lvl w:ilvl="8" w:tplc="D7E89A92" w:tentative="1">
      <w:start w:val="1"/>
      <w:numFmt w:val="bullet"/>
      <w:lvlText w:val=""/>
      <w:lvlJc w:val="left"/>
      <w:pPr>
        <w:ind w:left="6480" w:hanging="360"/>
      </w:pPr>
      <w:rPr>
        <w:rFonts w:ascii="Wingdings" w:hAnsi="Wingdings" w:hint="default"/>
      </w:rPr>
    </w:lvl>
  </w:abstractNum>
  <w:abstractNum w:abstractNumId="31" w15:restartNumberingAfterBreak="0">
    <w:nsid w:val="7FCB6DE6"/>
    <w:multiLevelType w:val="hybridMultilevel"/>
    <w:tmpl w:val="A88A4F78"/>
    <w:lvl w:ilvl="0" w:tplc="E62EFF12">
      <w:start w:val="1"/>
      <w:numFmt w:val="bullet"/>
      <w:lvlText w:val=""/>
      <w:lvlJc w:val="left"/>
      <w:pPr>
        <w:ind w:left="720" w:hanging="360"/>
      </w:pPr>
      <w:rPr>
        <w:rFonts w:ascii="Symbol" w:hAnsi="Symbol" w:hint="default"/>
      </w:rPr>
    </w:lvl>
    <w:lvl w:ilvl="1" w:tplc="1B9CB528">
      <w:numFmt w:val="bullet"/>
      <w:lvlText w:val="-"/>
      <w:lvlJc w:val="left"/>
      <w:pPr>
        <w:ind w:left="1440" w:hanging="360"/>
      </w:pPr>
      <w:rPr>
        <w:rFonts w:ascii="Arial" w:eastAsia="Arial" w:hAnsi="Arial" w:cs="Arial" w:hint="default"/>
      </w:rPr>
    </w:lvl>
    <w:lvl w:ilvl="2" w:tplc="76F29A68" w:tentative="1">
      <w:start w:val="1"/>
      <w:numFmt w:val="bullet"/>
      <w:lvlText w:val=""/>
      <w:lvlJc w:val="left"/>
      <w:pPr>
        <w:ind w:left="2160" w:hanging="360"/>
      </w:pPr>
      <w:rPr>
        <w:rFonts w:ascii="Wingdings" w:hAnsi="Wingdings" w:hint="default"/>
      </w:rPr>
    </w:lvl>
    <w:lvl w:ilvl="3" w:tplc="0FF4871A" w:tentative="1">
      <w:start w:val="1"/>
      <w:numFmt w:val="bullet"/>
      <w:lvlText w:val=""/>
      <w:lvlJc w:val="left"/>
      <w:pPr>
        <w:ind w:left="2880" w:hanging="360"/>
      </w:pPr>
      <w:rPr>
        <w:rFonts w:ascii="Symbol" w:hAnsi="Symbol" w:hint="default"/>
      </w:rPr>
    </w:lvl>
    <w:lvl w:ilvl="4" w:tplc="59B2907E" w:tentative="1">
      <w:start w:val="1"/>
      <w:numFmt w:val="bullet"/>
      <w:lvlText w:val="o"/>
      <w:lvlJc w:val="left"/>
      <w:pPr>
        <w:ind w:left="3600" w:hanging="360"/>
      </w:pPr>
      <w:rPr>
        <w:rFonts w:ascii="Courier New" w:hAnsi="Courier New" w:cs="Courier New" w:hint="default"/>
      </w:rPr>
    </w:lvl>
    <w:lvl w:ilvl="5" w:tplc="99C8F2A6" w:tentative="1">
      <w:start w:val="1"/>
      <w:numFmt w:val="bullet"/>
      <w:lvlText w:val=""/>
      <w:lvlJc w:val="left"/>
      <w:pPr>
        <w:ind w:left="4320" w:hanging="360"/>
      </w:pPr>
      <w:rPr>
        <w:rFonts w:ascii="Wingdings" w:hAnsi="Wingdings" w:hint="default"/>
      </w:rPr>
    </w:lvl>
    <w:lvl w:ilvl="6" w:tplc="889088CC" w:tentative="1">
      <w:start w:val="1"/>
      <w:numFmt w:val="bullet"/>
      <w:lvlText w:val=""/>
      <w:lvlJc w:val="left"/>
      <w:pPr>
        <w:ind w:left="5040" w:hanging="360"/>
      </w:pPr>
      <w:rPr>
        <w:rFonts w:ascii="Symbol" w:hAnsi="Symbol" w:hint="default"/>
      </w:rPr>
    </w:lvl>
    <w:lvl w:ilvl="7" w:tplc="61FC6980" w:tentative="1">
      <w:start w:val="1"/>
      <w:numFmt w:val="bullet"/>
      <w:lvlText w:val="o"/>
      <w:lvlJc w:val="left"/>
      <w:pPr>
        <w:ind w:left="5760" w:hanging="360"/>
      </w:pPr>
      <w:rPr>
        <w:rFonts w:ascii="Courier New" w:hAnsi="Courier New" w:cs="Courier New" w:hint="default"/>
      </w:rPr>
    </w:lvl>
    <w:lvl w:ilvl="8" w:tplc="EB9E9B0E"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FB"/>
    <w:rsid w:val="00873CFB"/>
    <w:rsid w:val="00F92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CAA95-C1CF-4DBC-8C22-7F282B12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table" w:customStyle="1" w:styleId="GridTable2-Accent61">
    <w:name w:val="Grid Table 2 - Accent 6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1">
    <w:name w:val="Grid Table 2 - Accent 61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21">
    <w:name w:val="Grid Table 2 - Accent 612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yperlink" Target="http://www.natimukps.vic.edu.au" TargetMode="External"/><Relationship Id="rId27" Type="http://schemas.openxmlformats.org/officeDocument/2006/relationships/header" Target="header7.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2E3AEF01-27B4-4C75-BC2A-78FC75CC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4174</Words>
  <Characters>23794</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Clarkson, Ingrid C</cp:lastModifiedBy>
  <cp:revision>2</cp:revision>
  <dcterms:created xsi:type="dcterms:W3CDTF">2020-11-04T02:18:00Z</dcterms:created>
  <dcterms:modified xsi:type="dcterms:W3CDTF">2020-11-04T02:18:00Z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